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C1D8C" w14:textId="3E69128A" w:rsidR="006B3F1F" w:rsidRPr="00DB7EE8" w:rsidRDefault="000C6387" w:rsidP="00A631A3">
      <w:pPr>
        <w:pStyle w:val="Title"/>
        <w:spacing w:before="0" w:beforeAutospacing="0" w:after="180"/>
        <w:rPr>
          <w:rFonts w:ascii="Times" w:hAnsi="Times"/>
        </w:rPr>
      </w:pPr>
      <w:r>
        <w:rPr>
          <w:rFonts w:ascii="Times" w:hAnsi="Times"/>
        </w:rPr>
        <w:t xml:space="preserve">Socioeconomic </w:t>
      </w:r>
      <w:r w:rsidR="00C50C9C" w:rsidRPr="00DB7EE8">
        <w:rPr>
          <w:rFonts w:ascii="Times" w:hAnsi="Times"/>
        </w:rPr>
        <w:t xml:space="preserve">Status and MOOC Enrollment: Enriching Demographic </w:t>
      </w:r>
      <w:r w:rsidR="00A43784">
        <w:rPr>
          <w:rFonts w:ascii="Times" w:hAnsi="Times"/>
        </w:rPr>
        <w:t>Information</w:t>
      </w:r>
      <w:r w:rsidR="00C50C9C" w:rsidRPr="00DB7EE8">
        <w:rPr>
          <w:rFonts w:ascii="Times" w:hAnsi="Times"/>
        </w:rPr>
        <w:t xml:space="preserve"> with External Datasets </w:t>
      </w:r>
    </w:p>
    <w:tbl>
      <w:tblPr>
        <w:tblW w:w="6764" w:type="dxa"/>
        <w:jc w:val="center"/>
        <w:tblLayout w:type="fixed"/>
        <w:tblLook w:val="0000" w:firstRow="0" w:lastRow="0" w:firstColumn="0" w:lastColumn="0" w:noHBand="0" w:noVBand="0"/>
      </w:tblPr>
      <w:tblGrid>
        <w:gridCol w:w="3382"/>
        <w:gridCol w:w="3382"/>
      </w:tblGrid>
      <w:tr w:rsidR="005523B8" w:rsidRPr="00DB7EE8" w14:paraId="5907B43C" w14:textId="77777777" w:rsidTr="00E96868">
        <w:trPr>
          <w:trHeight w:val="616"/>
          <w:tblHeader/>
          <w:jc w:val="center"/>
        </w:trPr>
        <w:tc>
          <w:tcPr>
            <w:tcW w:w="3382" w:type="dxa"/>
            <w:tcBorders>
              <w:top w:val="nil"/>
              <w:left w:val="nil"/>
              <w:bottom w:val="nil"/>
              <w:right w:val="nil"/>
            </w:tcBorders>
          </w:tcPr>
          <w:p w14:paraId="46668543" w14:textId="5253DBA9" w:rsidR="005523B8" w:rsidRPr="00DB7EE8" w:rsidRDefault="008D7D28">
            <w:pPr>
              <w:pStyle w:val="Author"/>
              <w:rPr>
                <w:rFonts w:ascii="Times" w:hAnsi="Times"/>
              </w:rPr>
            </w:pPr>
            <w:r w:rsidRPr="00DB7EE8">
              <w:rPr>
                <w:rFonts w:ascii="Times" w:hAnsi="Times"/>
              </w:rPr>
              <w:t>John Hansen</w:t>
            </w:r>
          </w:p>
          <w:p w14:paraId="6613297D" w14:textId="532E7259" w:rsidR="005523B8" w:rsidRPr="00DB7EE8" w:rsidRDefault="005523B8">
            <w:pPr>
              <w:pStyle w:val="Affiliation"/>
              <w:rPr>
                <w:rFonts w:ascii="Times" w:hAnsi="Times"/>
              </w:rPr>
            </w:pPr>
            <w:r w:rsidRPr="00DB7EE8">
              <w:rPr>
                <w:rFonts w:ascii="Times" w:hAnsi="Times"/>
              </w:rPr>
              <w:t>Harvard University</w:t>
            </w:r>
          </w:p>
          <w:p w14:paraId="508255DE" w14:textId="4303B350" w:rsidR="005523B8" w:rsidRPr="00DB7EE8" w:rsidRDefault="008D7D28" w:rsidP="008D7D28">
            <w:pPr>
              <w:pStyle w:val="Affiliation"/>
              <w:rPr>
                <w:rFonts w:ascii="Times" w:hAnsi="Times"/>
              </w:rPr>
            </w:pPr>
            <w:r w:rsidRPr="00DB7EE8">
              <w:rPr>
                <w:rFonts w:ascii="Times" w:hAnsi="Times"/>
              </w:rPr>
              <w:t>john_hansen@mail.harvard.edu</w:t>
            </w:r>
          </w:p>
        </w:tc>
        <w:tc>
          <w:tcPr>
            <w:tcW w:w="3382" w:type="dxa"/>
            <w:tcBorders>
              <w:top w:val="nil"/>
              <w:left w:val="nil"/>
              <w:bottom w:val="nil"/>
              <w:right w:val="nil"/>
            </w:tcBorders>
          </w:tcPr>
          <w:p w14:paraId="3324FDB1" w14:textId="1385A1BA" w:rsidR="005523B8" w:rsidRPr="00DB7EE8" w:rsidRDefault="005523B8" w:rsidP="007031CC">
            <w:pPr>
              <w:pStyle w:val="Author"/>
              <w:rPr>
                <w:rFonts w:ascii="Times" w:hAnsi="Times"/>
              </w:rPr>
            </w:pPr>
            <w:r w:rsidRPr="00DB7EE8">
              <w:rPr>
                <w:rFonts w:ascii="Times" w:hAnsi="Times"/>
              </w:rPr>
              <w:t>Justin Reich</w:t>
            </w:r>
          </w:p>
          <w:p w14:paraId="2D253330" w14:textId="1B017B8A" w:rsidR="005523B8" w:rsidRPr="00DB7EE8" w:rsidRDefault="005523B8" w:rsidP="007031CC">
            <w:pPr>
              <w:pStyle w:val="Affiliation"/>
              <w:rPr>
                <w:rFonts w:ascii="Times" w:hAnsi="Times"/>
              </w:rPr>
            </w:pPr>
            <w:r w:rsidRPr="00DB7EE8">
              <w:rPr>
                <w:rFonts w:ascii="Times" w:hAnsi="Times"/>
              </w:rPr>
              <w:t>Harvard University</w:t>
            </w:r>
          </w:p>
          <w:p w14:paraId="0B5FFDE5" w14:textId="714E2FD9" w:rsidR="005523B8" w:rsidRPr="00DB7EE8" w:rsidRDefault="00987D88" w:rsidP="00E96868">
            <w:pPr>
              <w:pStyle w:val="Affiliation"/>
              <w:rPr>
                <w:rFonts w:ascii="Times" w:hAnsi="Times"/>
              </w:rPr>
            </w:pPr>
            <w:r w:rsidRPr="00DB7EE8">
              <w:rPr>
                <w:rFonts w:ascii="Times" w:hAnsi="Times"/>
              </w:rPr>
              <w:t>justin_reich</w:t>
            </w:r>
            <w:r w:rsidR="005523B8" w:rsidRPr="00DB7EE8">
              <w:rPr>
                <w:rFonts w:ascii="Times" w:hAnsi="Times"/>
              </w:rPr>
              <w:t>@mail.harvard.edu</w:t>
            </w:r>
          </w:p>
        </w:tc>
      </w:tr>
    </w:tbl>
    <w:p w14:paraId="179A4F0C" w14:textId="77777777" w:rsidR="006B3F1F" w:rsidRPr="00DB7EE8" w:rsidRDefault="006B3F1F">
      <w:pPr>
        <w:pStyle w:val="Author"/>
        <w:rPr>
          <w:rFonts w:ascii="Times" w:hAnsi="Times"/>
          <w:sz w:val="20"/>
        </w:rPr>
      </w:pPr>
    </w:p>
    <w:p w14:paraId="15D72C65" w14:textId="77777777" w:rsidR="006B3F1F" w:rsidRPr="00DB7EE8" w:rsidRDefault="006B3F1F">
      <w:pPr>
        <w:pStyle w:val="Author"/>
        <w:rPr>
          <w:rFonts w:ascii="Times" w:hAnsi="Times"/>
          <w:sz w:val="20"/>
        </w:rPr>
        <w:sectPr w:rsidR="006B3F1F" w:rsidRPr="00DB7EE8" w:rsidSect="00DE1746">
          <w:pgSz w:w="12240" w:h="15840" w:code="1"/>
          <w:pgMar w:top="1224" w:right="1080" w:bottom="1440" w:left="1080" w:header="720" w:footer="720" w:gutter="0"/>
          <w:cols w:space="720"/>
          <w:docGrid w:linePitch="360"/>
        </w:sectPr>
      </w:pPr>
    </w:p>
    <w:p w14:paraId="099D31DE" w14:textId="5D8C4756" w:rsidR="008D7D28" w:rsidRPr="00DB7EE8" w:rsidRDefault="0003390D" w:rsidP="00E35A3E">
      <w:pPr>
        <w:pStyle w:val="Heading1"/>
        <w:spacing w:before="0"/>
        <w:rPr>
          <w:rFonts w:ascii="Times" w:hAnsi="Times"/>
        </w:rPr>
      </w:pPr>
      <w:r w:rsidRPr="00DB7EE8">
        <w:rPr>
          <w:rFonts w:ascii="Times" w:hAnsi="Times"/>
          <w:noProof/>
        </w:rPr>
        <w:lastRenderedPageBreak/>
        <mc:AlternateContent>
          <mc:Choice Requires="wps">
            <w:drawing>
              <wp:anchor distT="0" distB="0" distL="114300" distR="114300" simplePos="0" relativeHeight="251648000" behindDoc="0" locked="1" layoutInCell="1" allowOverlap="0" wp14:anchorId="4322D4A8" wp14:editId="2A4513DD">
                <wp:simplePos x="0" y="0"/>
                <wp:positionH relativeFrom="margin">
                  <wp:posOffset>0</wp:posOffset>
                </wp:positionH>
                <wp:positionV relativeFrom="margin">
                  <wp:posOffset>6839585</wp:posOffset>
                </wp:positionV>
                <wp:extent cx="3044825" cy="173291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73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9648A" w14:textId="77777777" w:rsidR="00D50343" w:rsidRPr="00ED65EA" w:rsidRDefault="00D50343" w:rsidP="006973A2">
                            <w:pPr>
                              <w:autoSpaceDE w:val="0"/>
                              <w:autoSpaceDN w:val="0"/>
                              <w:adjustRightInd w:val="0"/>
                              <w:spacing w:after="0"/>
                              <w:rPr>
                                <w:rFonts w:ascii="TimesNewRomanPSMT" w:hAnsi="TimesNewRomanPSMT" w:cs="TimesNewRomanPSMT"/>
                                <w:color w:val="FF0000"/>
                                <w:sz w:val="16"/>
                                <w:szCs w:val="16"/>
                              </w:rPr>
                            </w:pPr>
                            <w:r w:rsidRPr="00ED65EA">
                              <w:rPr>
                                <w:rFonts w:ascii="TimesNewRomanPSMT" w:hAnsi="TimesNewRomanPSMT" w:cs="TimesNewRomanPSMT"/>
                                <w:color w:val="FF0000"/>
                                <w:sz w:val="16"/>
                                <w:szCs w:val="16"/>
                              </w:rPr>
                              <w:t>Paste the appropriate copyright/license statement here.  ACM now supports three different publication options:</w:t>
                            </w:r>
                          </w:p>
                          <w:p w14:paraId="3362F66C" w14:textId="77777777" w:rsidR="00D50343" w:rsidRPr="00ED65EA" w:rsidRDefault="00D50343" w:rsidP="006973A2">
                            <w:pPr>
                              <w:numPr>
                                <w:ilvl w:val="0"/>
                                <w:numId w:val="32"/>
                              </w:numPr>
                              <w:autoSpaceDE w:val="0"/>
                              <w:autoSpaceDN w:val="0"/>
                              <w:adjustRightInd w:val="0"/>
                              <w:spacing w:after="0"/>
                              <w:ind w:left="360" w:hanging="240"/>
                              <w:rPr>
                                <w:rFonts w:ascii="TimesNewRomanPSMT" w:hAnsi="TimesNewRomanPSMT" w:cs="TimesNewRomanPSMT"/>
                                <w:color w:val="FF0000"/>
                                <w:sz w:val="16"/>
                                <w:szCs w:val="16"/>
                              </w:rPr>
                            </w:pPr>
                            <w:r w:rsidRPr="00ED65EA">
                              <w:rPr>
                                <w:rFonts w:ascii="TimesNewRomanPSMT" w:hAnsi="TimesNewRomanPSMT" w:cs="TimesNewRomanPSMT"/>
                                <w:color w:val="FF0000"/>
                                <w:sz w:val="16"/>
                                <w:szCs w:val="16"/>
                              </w:rPr>
                              <w:t>ACM copyright: ACM holds the copyright on the work.  This is the historical approach.</w:t>
                            </w:r>
                          </w:p>
                          <w:p w14:paraId="76946379" w14:textId="77777777" w:rsidR="00D50343" w:rsidRPr="00ED65EA" w:rsidRDefault="00D50343" w:rsidP="006973A2">
                            <w:pPr>
                              <w:numPr>
                                <w:ilvl w:val="0"/>
                                <w:numId w:val="32"/>
                              </w:numPr>
                              <w:autoSpaceDE w:val="0"/>
                              <w:autoSpaceDN w:val="0"/>
                              <w:adjustRightInd w:val="0"/>
                              <w:spacing w:after="0"/>
                              <w:ind w:left="360" w:hanging="240"/>
                              <w:rPr>
                                <w:rFonts w:ascii="TimesNewRomanPSMT" w:hAnsi="TimesNewRomanPSMT" w:cs="TimesNewRomanPSMT"/>
                                <w:color w:val="FF0000"/>
                                <w:sz w:val="16"/>
                                <w:szCs w:val="16"/>
                              </w:rPr>
                            </w:pPr>
                            <w:r w:rsidRPr="00ED65EA">
                              <w:rPr>
                                <w:rFonts w:ascii="TimesNewRomanPSMT" w:hAnsi="TimesNewRomanPSMT" w:cs="TimesNewRomanPSMT"/>
                                <w:color w:val="FF0000"/>
                                <w:sz w:val="16"/>
                                <w:szCs w:val="16"/>
                              </w:rPr>
                              <w:t>License: The author(s) retain copyright, but ACM receives an exclusive publication license.</w:t>
                            </w:r>
                          </w:p>
                          <w:p w14:paraId="35B91BC8" w14:textId="77777777" w:rsidR="00D50343" w:rsidRPr="00ED65EA" w:rsidRDefault="00D50343" w:rsidP="006973A2">
                            <w:pPr>
                              <w:numPr>
                                <w:ilvl w:val="0"/>
                                <w:numId w:val="32"/>
                              </w:numPr>
                              <w:autoSpaceDE w:val="0"/>
                              <w:autoSpaceDN w:val="0"/>
                              <w:adjustRightInd w:val="0"/>
                              <w:spacing w:after="0"/>
                              <w:ind w:left="360" w:hanging="240"/>
                              <w:rPr>
                                <w:rFonts w:ascii="TimesNewRomanPSMT" w:hAnsi="TimesNewRomanPSMT" w:cs="TimesNewRomanPSMT"/>
                                <w:color w:val="FF0000"/>
                                <w:sz w:val="16"/>
                                <w:szCs w:val="16"/>
                              </w:rPr>
                            </w:pPr>
                            <w:r w:rsidRPr="00ED65EA">
                              <w:rPr>
                                <w:rFonts w:ascii="TimesNewRomanPSMT" w:hAnsi="TimesNewRomanPSMT" w:cs="TimesNewRomanPSMT"/>
                                <w:color w:val="FF0000"/>
                                <w:sz w:val="16"/>
                                <w:szCs w:val="16"/>
                              </w:rPr>
                              <w:t>Open Access: The author(s) wish to pay for the work to be open access.  The additional fee must be paid to ACM.</w:t>
                            </w:r>
                          </w:p>
                          <w:p w14:paraId="196BA731" w14:textId="77777777" w:rsidR="00D50343" w:rsidRPr="00ED65EA" w:rsidRDefault="00D50343" w:rsidP="006973A2">
                            <w:pPr>
                              <w:autoSpaceDE w:val="0"/>
                              <w:autoSpaceDN w:val="0"/>
                              <w:adjustRightInd w:val="0"/>
                              <w:spacing w:after="0"/>
                              <w:rPr>
                                <w:rFonts w:ascii="TimesNewRomanPSMT" w:hAnsi="TimesNewRomanPSMT" w:cs="TimesNewRomanPSMT"/>
                                <w:color w:val="FF0000"/>
                                <w:sz w:val="16"/>
                                <w:szCs w:val="16"/>
                              </w:rPr>
                            </w:pPr>
                            <w:r w:rsidRPr="00ED65EA">
                              <w:rPr>
                                <w:rFonts w:ascii="TimesNewRomanPSMT" w:hAnsi="TimesNewRomanPSMT" w:cs="TimesNewRomanPSMT"/>
                                <w:color w:val="FF0000"/>
                                <w:sz w:val="16"/>
                                <w:szCs w:val="16"/>
                              </w:rPr>
                              <w:t>This text field is large enough to hold the appropriate release statement assuming it is single-spaced in TimesNewRoman 8 point font.   Please do not change or modify the size of this text box.</w:t>
                            </w:r>
                          </w:p>
                          <w:p w14:paraId="51F9CCFB" w14:textId="77777777" w:rsidR="00D50343" w:rsidRPr="00ED65EA" w:rsidRDefault="00D50343" w:rsidP="0090145C">
                            <w:pPr>
                              <w:pStyle w:val="Copyright"/>
                              <w:rPr>
                                <w:color w:val="FF000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538.55pt;width:239.75pt;height:136.4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" o:allowoverlap="f" stroked="f">
                <v:textbox inset="0,,0">
                  <w:txbxContent>
                    <w:p w14:paraId="7009648A" w14:textId="77777777" w:rsidR="00D50343" w:rsidRPr="00ED65EA" w:rsidRDefault="00D50343" w:rsidP="006973A2">
                      <w:pPr>
                        <w:autoSpaceDE w:val="0"/>
                        <w:autoSpaceDN w:val="0"/>
                        <w:adjustRightInd w:val="0"/>
                        <w:spacing w:after="0"/>
                        <w:rPr>
                          <w:rFonts w:ascii="TimesNewRomanPSMT" w:hAnsi="TimesNewRomanPSMT" w:cs="TimesNewRomanPSMT"/>
                          <w:color w:val="FF0000"/>
                          <w:sz w:val="16"/>
                          <w:szCs w:val="16"/>
                        </w:rPr>
                      </w:pPr>
                      <w:r w:rsidRPr="00ED65EA">
                        <w:rPr>
                          <w:rFonts w:ascii="TimesNewRomanPSMT" w:hAnsi="TimesNewRomanPSMT" w:cs="TimesNewRomanPSMT"/>
                          <w:color w:val="FF0000"/>
                          <w:sz w:val="16"/>
                          <w:szCs w:val="16"/>
                        </w:rPr>
                        <w:t>Paste the appropriate copyright/license statement here.  ACM now supports three different publication options:</w:t>
                      </w:r>
                    </w:p>
                    <w:p w14:paraId="3362F66C" w14:textId="77777777" w:rsidR="00D50343" w:rsidRPr="00ED65EA" w:rsidRDefault="00D50343" w:rsidP="006973A2">
                      <w:pPr>
                        <w:numPr>
                          <w:ilvl w:val="0"/>
                          <w:numId w:val="32"/>
                        </w:numPr>
                        <w:autoSpaceDE w:val="0"/>
                        <w:autoSpaceDN w:val="0"/>
                        <w:adjustRightInd w:val="0"/>
                        <w:spacing w:after="0"/>
                        <w:ind w:left="360" w:hanging="240"/>
                        <w:rPr>
                          <w:rFonts w:ascii="TimesNewRomanPSMT" w:hAnsi="TimesNewRomanPSMT" w:cs="TimesNewRomanPSMT"/>
                          <w:color w:val="FF0000"/>
                          <w:sz w:val="16"/>
                          <w:szCs w:val="16"/>
                        </w:rPr>
                      </w:pPr>
                      <w:r w:rsidRPr="00ED65EA">
                        <w:rPr>
                          <w:rFonts w:ascii="TimesNewRomanPSMT" w:hAnsi="TimesNewRomanPSMT" w:cs="TimesNewRomanPSMT"/>
                          <w:color w:val="FF0000"/>
                          <w:sz w:val="16"/>
                          <w:szCs w:val="16"/>
                        </w:rPr>
                        <w:t>ACM copyright: ACM holds the copyright on the work.  This is the historical approach.</w:t>
                      </w:r>
                    </w:p>
                    <w:p w14:paraId="76946379" w14:textId="77777777" w:rsidR="00D50343" w:rsidRPr="00ED65EA" w:rsidRDefault="00D50343" w:rsidP="006973A2">
                      <w:pPr>
                        <w:numPr>
                          <w:ilvl w:val="0"/>
                          <w:numId w:val="32"/>
                        </w:numPr>
                        <w:autoSpaceDE w:val="0"/>
                        <w:autoSpaceDN w:val="0"/>
                        <w:adjustRightInd w:val="0"/>
                        <w:spacing w:after="0"/>
                        <w:ind w:left="360" w:hanging="240"/>
                        <w:rPr>
                          <w:rFonts w:ascii="TimesNewRomanPSMT" w:hAnsi="TimesNewRomanPSMT" w:cs="TimesNewRomanPSMT"/>
                          <w:color w:val="FF0000"/>
                          <w:sz w:val="16"/>
                          <w:szCs w:val="16"/>
                        </w:rPr>
                      </w:pPr>
                      <w:r w:rsidRPr="00ED65EA">
                        <w:rPr>
                          <w:rFonts w:ascii="TimesNewRomanPSMT" w:hAnsi="TimesNewRomanPSMT" w:cs="TimesNewRomanPSMT"/>
                          <w:color w:val="FF0000"/>
                          <w:sz w:val="16"/>
                          <w:szCs w:val="16"/>
                        </w:rPr>
                        <w:t>License: The author(s) retain copyright, but ACM receives an exclusive publication license.</w:t>
                      </w:r>
                    </w:p>
                    <w:p w14:paraId="35B91BC8" w14:textId="77777777" w:rsidR="00D50343" w:rsidRPr="00ED65EA" w:rsidRDefault="00D50343" w:rsidP="006973A2">
                      <w:pPr>
                        <w:numPr>
                          <w:ilvl w:val="0"/>
                          <w:numId w:val="32"/>
                        </w:numPr>
                        <w:autoSpaceDE w:val="0"/>
                        <w:autoSpaceDN w:val="0"/>
                        <w:adjustRightInd w:val="0"/>
                        <w:spacing w:after="0"/>
                        <w:ind w:left="360" w:hanging="240"/>
                        <w:rPr>
                          <w:rFonts w:ascii="TimesNewRomanPSMT" w:hAnsi="TimesNewRomanPSMT" w:cs="TimesNewRomanPSMT"/>
                          <w:color w:val="FF0000"/>
                          <w:sz w:val="16"/>
                          <w:szCs w:val="16"/>
                        </w:rPr>
                      </w:pPr>
                      <w:r w:rsidRPr="00ED65EA">
                        <w:rPr>
                          <w:rFonts w:ascii="TimesNewRomanPSMT" w:hAnsi="TimesNewRomanPSMT" w:cs="TimesNewRomanPSMT"/>
                          <w:color w:val="FF0000"/>
                          <w:sz w:val="16"/>
                          <w:szCs w:val="16"/>
                        </w:rPr>
                        <w:t>Open Access: The author(s) wish to pay for the work to be open access.  The additional fee must be paid to ACM.</w:t>
                      </w:r>
                    </w:p>
                    <w:p w14:paraId="196BA731" w14:textId="77777777" w:rsidR="00D50343" w:rsidRPr="00ED65EA" w:rsidRDefault="00D50343" w:rsidP="006973A2">
                      <w:pPr>
                        <w:autoSpaceDE w:val="0"/>
                        <w:autoSpaceDN w:val="0"/>
                        <w:adjustRightInd w:val="0"/>
                        <w:spacing w:after="0"/>
                        <w:rPr>
                          <w:rFonts w:ascii="TimesNewRomanPSMT" w:hAnsi="TimesNewRomanPSMT" w:cs="TimesNewRomanPSMT"/>
                          <w:color w:val="FF0000"/>
                          <w:sz w:val="16"/>
                          <w:szCs w:val="16"/>
                        </w:rPr>
                      </w:pPr>
                      <w:r w:rsidRPr="00ED65EA">
                        <w:rPr>
                          <w:rFonts w:ascii="TimesNewRomanPSMT" w:hAnsi="TimesNewRomanPSMT" w:cs="TimesNewRomanPSMT"/>
                          <w:color w:val="FF0000"/>
                          <w:sz w:val="16"/>
                          <w:szCs w:val="16"/>
                        </w:rPr>
                        <w:t>This text field is large enough to hold the appropriate release statement assuming it is single-spaced in TimesNewRoman 8 point font.   Please do not change or modify the size of this text box.</w:t>
                      </w:r>
                    </w:p>
                    <w:p w14:paraId="51F9CCFB" w14:textId="77777777" w:rsidR="00D50343" w:rsidRPr="00ED65EA" w:rsidRDefault="00D50343" w:rsidP="0090145C">
                      <w:pPr>
                        <w:pStyle w:val="Copyright"/>
                        <w:rPr>
                          <w:color w:val="FF0000"/>
                        </w:rPr>
                      </w:pPr>
                    </w:p>
                  </w:txbxContent>
                </v:textbox>
                <w10:wrap type="square" anchorx="margin" anchory="margin"/>
                <w10:anchorlock/>
              </v:shape>
            </w:pict>
          </mc:Fallback>
        </mc:AlternateContent>
      </w:r>
      <w:r w:rsidR="006B3F1F" w:rsidRPr="00DB7EE8">
        <w:rPr>
          <w:rFonts w:ascii="Times" w:hAnsi="Times"/>
        </w:rPr>
        <w:t>ABSTRACT</w:t>
      </w:r>
    </w:p>
    <w:p w14:paraId="6C55E24C" w14:textId="7D39EA97" w:rsidR="006B3F1F" w:rsidRPr="00DB7EE8" w:rsidRDefault="004C0B2C">
      <w:pPr>
        <w:rPr>
          <w:rFonts w:ascii="Times" w:hAnsi="Times"/>
        </w:rPr>
      </w:pPr>
      <w:r>
        <w:rPr>
          <w:rFonts w:ascii="Times" w:hAnsi="Times"/>
        </w:rPr>
        <w:t xml:space="preserve">To minimize barriers to entry, </w:t>
      </w:r>
      <w:r w:rsidR="000614E0">
        <w:rPr>
          <w:rFonts w:ascii="Times" w:hAnsi="Times"/>
        </w:rPr>
        <w:t>massive open online course (MOOC)</w:t>
      </w:r>
      <w:r>
        <w:rPr>
          <w:rFonts w:ascii="Times" w:hAnsi="Times"/>
        </w:rPr>
        <w:t xml:space="preserve"> providers collect minimal demographic information about users. </w:t>
      </w:r>
      <w:r w:rsidR="000614E0">
        <w:rPr>
          <w:rFonts w:ascii="Times" w:hAnsi="Times"/>
        </w:rPr>
        <w:t>In isolation</w:t>
      </w:r>
      <w:r>
        <w:rPr>
          <w:rFonts w:ascii="Times" w:hAnsi="Times"/>
        </w:rPr>
        <w:t>, this data is insufficient to address</w:t>
      </w:r>
      <w:r w:rsidR="000614E0">
        <w:rPr>
          <w:rFonts w:ascii="Times" w:hAnsi="Times"/>
        </w:rPr>
        <w:t xml:space="preserve"> important questions about socioeconomic status</w:t>
      </w:r>
      <w:r w:rsidR="00CB1E56">
        <w:rPr>
          <w:rFonts w:ascii="Times" w:hAnsi="Times"/>
        </w:rPr>
        <w:t xml:space="preserve"> (SES)</w:t>
      </w:r>
      <w:r w:rsidR="000614E0">
        <w:rPr>
          <w:rFonts w:ascii="Times" w:hAnsi="Times"/>
        </w:rPr>
        <w:t xml:space="preserve"> and </w:t>
      </w:r>
      <w:r w:rsidR="000E7CCC">
        <w:rPr>
          <w:rFonts w:ascii="Times" w:hAnsi="Times"/>
        </w:rPr>
        <w:t>MOOC enrollment and performance</w:t>
      </w:r>
      <w:r w:rsidR="000614E0">
        <w:rPr>
          <w:rFonts w:ascii="Times" w:hAnsi="Times"/>
        </w:rPr>
        <w:t>.</w:t>
      </w:r>
      <w:r>
        <w:rPr>
          <w:rFonts w:ascii="Times" w:hAnsi="Times"/>
        </w:rPr>
        <w:t xml:space="preserve"> </w:t>
      </w:r>
      <w:r w:rsidR="00E35A3E" w:rsidRPr="00DB7EE8">
        <w:rPr>
          <w:rFonts w:ascii="Times" w:hAnsi="Times"/>
        </w:rPr>
        <w:t>We</w:t>
      </w:r>
      <w:r w:rsidR="000614E0">
        <w:rPr>
          <w:rFonts w:ascii="Times" w:hAnsi="Times"/>
        </w:rPr>
        <w:t xml:space="preserve"> demonstrate the use of third-party dat</w:t>
      </w:r>
      <w:r w:rsidR="00742F26">
        <w:rPr>
          <w:rFonts w:ascii="Times" w:hAnsi="Times"/>
        </w:rPr>
        <w:t>a</w:t>
      </w:r>
      <w:r w:rsidR="000614E0">
        <w:rPr>
          <w:rFonts w:ascii="Times" w:hAnsi="Times"/>
        </w:rPr>
        <w:t xml:space="preserve">sets to </w:t>
      </w:r>
      <w:r w:rsidR="00E35A3E" w:rsidRPr="00DB7EE8">
        <w:rPr>
          <w:rFonts w:ascii="Times" w:hAnsi="Times"/>
        </w:rPr>
        <w:t xml:space="preserve">enrich </w:t>
      </w:r>
      <w:r w:rsidR="000614E0">
        <w:rPr>
          <w:rFonts w:ascii="Times" w:hAnsi="Times"/>
        </w:rPr>
        <w:t>demographic portrait</w:t>
      </w:r>
      <w:r w:rsidR="000E7CCC">
        <w:rPr>
          <w:rFonts w:ascii="Times" w:hAnsi="Times"/>
        </w:rPr>
        <w:t>s</w:t>
      </w:r>
      <w:r w:rsidR="000614E0">
        <w:rPr>
          <w:rFonts w:ascii="Times" w:hAnsi="Times"/>
        </w:rPr>
        <w:t xml:space="preserve"> of </w:t>
      </w:r>
      <w:r w:rsidR="00CB1E56">
        <w:rPr>
          <w:rFonts w:ascii="Times" w:hAnsi="Times"/>
        </w:rPr>
        <w:t>MOOC students and answer fundamental questions about SES and MOOC enrollment. W</w:t>
      </w:r>
      <w:r w:rsidR="004514DC" w:rsidRPr="00DB7EE8">
        <w:rPr>
          <w:rFonts w:ascii="Times" w:hAnsi="Times"/>
        </w:rPr>
        <w:t xml:space="preserve">e derive demographic information from registrants’ geographic location by matching self-reported mailing addresses with data available from Esri at the census block group level and the American Community Survey at the zip code level. </w:t>
      </w:r>
      <w:r w:rsidR="00315292">
        <w:rPr>
          <w:rFonts w:ascii="Times" w:hAnsi="Times"/>
        </w:rPr>
        <w:t xml:space="preserve">We then use these data to compare neighborhood income and levels of parental education for U.S. registrants in HarvardX courses and the U.S. population as a whole. </w:t>
      </w:r>
      <w:r w:rsidR="001F484D" w:rsidRPr="00DB7EE8">
        <w:rPr>
          <w:rFonts w:ascii="Times" w:hAnsi="Times"/>
        </w:rPr>
        <w:t xml:space="preserve">Overall, </w:t>
      </w:r>
      <w:r w:rsidR="000E7CCC" w:rsidRPr="00DB7EE8">
        <w:rPr>
          <w:rFonts w:ascii="Times" w:hAnsi="Times"/>
        </w:rPr>
        <w:t>HarvardX registrants tend to reside in more affluent neighborhoods</w:t>
      </w:r>
      <w:r w:rsidR="000E7CCC">
        <w:rPr>
          <w:rFonts w:ascii="Times" w:hAnsi="Times"/>
        </w:rPr>
        <w:t xml:space="preserve">. </w:t>
      </w:r>
      <w:r w:rsidR="001F484D" w:rsidRPr="00DB7EE8">
        <w:rPr>
          <w:rFonts w:ascii="Times" w:hAnsi="Times"/>
        </w:rPr>
        <w:t xml:space="preserve">U.S. HarvardX registrants </w:t>
      </w:r>
      <w:r w:rsidR="00E27C37" w:rsidRPr="00DB7EE8">
        <w:rPr>
          <w:rFonts w:ascii="Times" w:hAnsi="Times"/>
        </w:rPr>
        <w:t xml:space="preserve">on average </w:t>
      </w:r>
      <w:r w:rsidR="001F484D" w:rsidRPr="00DB7EE8">
        <w:rPr>
          <w:rFonts w:ascii="Times" w:hAnsi="Times"/>
        </w:rPr>
        <w:t>live in neighborhoods with median incomes</w:t>
      </w:r>
      <w:r w:rsidR="0008647F" w:rsidRPr="00DB7EE8">
        <w:rPr>
          <w:rFonts w:ascii="Times" w:hAnsi="Times"/>
        </w:rPr>
        <w:t xml:space="preserve"> approximately</w:t>
      </w:r>
      <w:r w:rsidR="001F484D" w:rsidRPr="00DB7EE8">
        <w:rPr>
          <w:rFonts w:ascii="Times" w:hAnsi="Times"/>
        </w:rPr>
        <w:t xml:space="preserve"> .</w:t>
      </w:r>
      <w:r w:rsidR="00711E6D" w:rsidRPr="00DB7EE8">
        <w:rPr>
          <w:rFonts w:ascii="Times" w:hAnsi="Times"/>
        </w:rPr>
        <w:t>4</w:t>
      </w:r>
      <w:r w:rsidR="00FC19BF" w:rsidRPr="00DB7EE8">
        <w:rPr>
          <w:rFonts w:ascii="Times" w:hAnsi="Times"/>
        </w:rPr>
        <w:t>5</w:t>
      </w:r>
      <w:r w:rsidR="001F484D" w:rsidRPr="00DB7EE8">
        <w:rPr>
          <w:rFonts w:ascii="Times" w:hAnsi="Times"/>
        </w:rPr>
        <w:t xml:space="preserve"> stan</w:t>
      </w:r>
      <w:r w:rsidR="0033350A" w:rsidRPr="00DB7EE8">
        <w:rPr>
          <w:rFonts w:ascii="Times" w:hAnsi="Times"/>
        </w:rPr>
        <w:t>dard deviations higher</w:t>
      </w:r>
      <w:r w:rsidR="0008647F" w:rsidRPr="00DB7EE8">
        <w:rPr>
          <w:rFonts w:ascii="Times" w:hAnsi="Times"/>
        </w:rPr>
        <w:t xml:space="preserve"> than the U.S. p</w:t>
      </w:r>
      <w:r w:rsidR="0033350A" w:rsidRPr="00DB7EE8">
        <w:rPr>
          <w:rFonts w:ascii="Times" w:hAnsi="Times"/>
        </w:rPr>
        <w:t>opulation</w:t>
      </w:r>
      <w:r w:rsidR="00624F5B" w:rsidRPr="00DB7EE8">
        <w:rPr>
          <w:rFonts w:ascii="Times" w:hAnsi="Times"/>
        </w:rPr>
        <w:t xml:space="preserve">. </w:t>
      </w:r>
      <w:r w:rsidR="000E7CCC">
        <w:rPr>
          <w:rFonts w:ascii="Times" w:hAnsi="Times"/>
        </w:rPr>
        <w:t>P</w:t>
      </w:r>
      <w:r w:rsidR="00315292">
        <w:rPr>
          <w:rFonts w:ascii="Times" w:hAnsi="Times"/>
        </w:rPr>
        <w:t xml:space="preserve">arental education is </w:t>
      </w:r>
      <w:r w:rsidR="000E7CCC">
        <w:rPr>
          <w:rFonts w:ascii="Times" w:hAnsi="Times"/>
        </w:rPr>
        <w:t xml:space="preserve">also </w:t>
      </w:r>
      <w:r w:rsidR="00315292">
        <w:rPr>
          <w:rFonts w:ascii="Times" w:hAnsi="Times"/>
        </w:rPr>
        <w:t xml:space="preserve">associated with a higher likelihood of MOOC enrollment. For instance, </w:t>
      </w:r>
      <w:r w:rsidR="00315292">
        <w:t>a seventeen year-old whose most educated parent has a bachelor's degree is more than five times as likely to register as a seventeen year-old whose most educated parent has a high school diploma. </w:t>
      </w:r>
    </w:p>
    <w:p w14:paraId="35D7786B" w14:textId="77777777" w:rsidR="006B3F1F" w:rsidRPr="00DB7EE8" w:rsidRDefault="006B3F1F">
      <w:pPr>
        <w:pStyle w:val="Heading2"/>
        <w:rPr>
          <w:rFonts w:ascii="Times" w:hAnsi="Times"/>
        </w:rPr>
      </w:pPr>
      <w:r w:rsidRPr="00DB7EE8">
        <w:rPr>
          <w:rFonts w:ascii="Times" w:hAnsi="Times"/>
        </w:rPr>
        <w:t>Author Keywords</w:t>
      </w:r>
    </w:p>
    <w:p w14:paraId="26336F9F" w14:textId="2CD439EC" w:rsidR="006B3F1F" w:rsidRPr="00DB7EE8" w:rsidRDefault="00107308" w:rsidP="00E65B32">
      <w:pPr>
        <w:jc w:val="left"/>
        <w:rPr>
          <w:rFonts w:ascii="Times" w:hAnsi="Times"/>
        </w:rPr>
      </w:pPr>
      <w:r w:rsidRPr="00DB7EE8">
        <w:rPr>
          <w:rFonts w:ascii="Times" w:hAnsi="Times"/>
        </w:rPr>
        <w:t xml:space="preserve">MOOCs; </w:t>
      </w:r>
      <w:r w:rsidR="009F52B5" w:rsidRPr="00DB7EE8">
        <w:rPr>
          <w:rFonts w:ascii="Times" w:hAnsi="Times"/>
        </w:rPr>
        <w:t>demographics</w:t>
      </w:r>
      <w:r w:rsidR="002B3D28" w:rsidRPr="00DB7EE8">
        <w:rPr>
          <w:rFonts w:ascii="Times" w:hAnsi="Times"/>
        </w:rPr>
        <w:t>; socioeconomic status; geographic analysis</w:t>
      </w:r>
    </w:p>
    <w:p w14:paraId="1E4DFCEE" w14:textId="77777777" w:rsidR="006B3F1F" w:rsidRPr="00DB7EE8" w:rsidRDefault="006B3F1F" w:rsidP="00E65B32">
      <w:pPr>
        <w:pStyle w:val="Heading2"/>
        <w:spacing w:before="0"/>
        <w:jc w:val="left"/>
        <w:rPr>
          <w:rFonts w:ascii="Times" w:hAnsi="Times"/>
        </w:rPr>
      </w:pPr>
      <w:r w:rsidRPr="00DB7EE8">
        <w:rPr>
          <w:rFonts w:ascii="Times" w:hAnsi="Times"/>
        </w:rPr>
        <w:t>ACM Classification Keywords</w:t>
      </w:r>
    </w:p>
    <w:p w14:paraId="739ACD5F" w14:textId="720C6639" w:rsidR="009F52B5" w:rsidRPr="00D929B3" w:rsidRDefault="00D929B3" w:rsidP="00D929B3">
      <w:pPr>
        <w:spacing w:after="240"/>
        <w:jc w:val="left"/>
      </w:pPr>
      <w:r>
        <w:t xml:space="preserve">K.3.1 Distance Learning. </w:t>
      </w:r>
    </w:p>
    <w:p w14:paraId="10F07326" w14:textId="5B9A0BE8" w:rsidR="00A6678D" w:rsidRPr="00DB7EE8" w:rsidRDefault="0054067B" w:rsidP="00A6678D">
      <w:pPr>
        <w:pStyle w:val="Heading1"/>
        <w:rPr>
          <w:rFonts w:ascii="Times" w:hAnsi="Times"/>
        </w:rPr>
      </w:pPr>
      <w:r>
        <w:rPr>
          <w:rFonts w:ascii="Times" w:hAnsi="Times"/>
        </w:rPr>
        <w:t xml:space="preserve">1. </w:t>
      </w:r>
      <w:r w:rsidR="006C63B0" w:rsidRPr="00DB7EE8">
        <w:rPr>
          <w:rFonts w:ascii="Times" w:hAnsi="Times"/>
        </w:rPr>
        <w:t>BACKGROUND AND CONTEXT</w:t>
      </w:r>
    </w:p>
    <w:p w14:paraId="33E43171" w14:textId="18B149DC" w:rsidR="00266C72" w:rsidRPr="00DB7EE8" w:rsidRDefault="00266C72" w:rsidP="00266C72">
      <w:pPr>
        <w:rPr>
          <w:rFonts w:ascii="Times" w:hAnsi="Times"/>
        </w:rPr>
      </w:pPr>
      <w:r w:rsidRPr="00DB7EE8">
        <w:rPr>
          <w:rFonts w:ascii="Times" w:hAnsi="Times"/>
        </w:rPr>
        <w:t>Advocates for Massive Open Online Courses (MOOC) have promoted their potential to make education “class-blind”</w:t>
      </w:r>
      <w:r w:rsidR="00A951B2">
        <w:rPr>
          <w:rFonts w:ascii="Times" w:hAnsi="Times"/>
        </w:rPr>
        <w:t xml:space="preserve"> </w:t>
      </w:r>
      <w:r w:rsidR="00A951B2">
        <w:rPr>
          <w:rFonts w:ascii="Times" w:hAnsi="Times"/>
        </w:rPr>
        <w:fldChar w:fldCharType="begin"/>
      </w:r>
      <w:r w:rsidR="00A951B2">
        <w:rPr>
          <w:rFonts w:ascii="Times" w:hAnsi="Times"/>
        </w:rPr>
        <w:instrText>ADDIN RW.CITE{{887 Agarwal, Anant 2013}}</w:instrText>
      </w:r>
      <w:r w:rsidR="00A951B2">
        <w:rPr>
          <w:rFonts w:ascii="Times" w:hAnsi="Times"/>
        </w:rPr>
        <w:fldChar w:fldCharType="separate"/>
      </w:r>
      <w:r w:rsidR="00EB4696" w:rsidRPr="00EB4696">
        <w:rPr>
          <w:rFonts w:ascii="Times" w:hAnsi="Times"/>
        </w:rPr>
        <w:t xml:space="preserve"> [1]</w:t>
      </w:r>
      <w:r w:rsidR="00A951B2">
        <w:rPr>
          <w:rFonts w:ascii="Times" w:hAnsi="Times"/>
        </w:rPr>
        <w:fldChar w:fldCharType="end"/>
      </w:r>
      <w:r w:rsidRPr="00DB7EE8">
        <w:rPr>
          <w:rFonts w:ascii="Times" w:hAnsi="Times"/>
        </w:rPr>
        <w:t xml:space="preserve"> and “allow people who lack access to world-</w:t>
      </w:r>
      <w:r w:rsidRPr="00DB7EE8">
        <w:rPr>
          <w:rFonts w:ascii="Times" w:hAnsi="Times"/>
        </w:rPr>
        <w:lastRenderedPageBreak/>
        <w:t xml:space="preserve">class learning…an opportunity to make a better life for themselves and </w:t>
      </w:r>
      <w:r w:rsidR="00A951B2">
        <w:rPr>
          <w:rFonts w:ascii="Times" w:hAnsi="Times"/>
        </w:rPr>
        <w:t>their families”</w:t>
      </w:r>
      <w:r w:rsidR="00A951B2">
        <w:rPr>
          <w:rFonts w:ascii="Times" w:hAnsi="Times"/>
        </w:rPr>
        <w:fldChar w:fldCharType="begin"/>
      </w:r>
      <w:r w:rsidR="00A951B2">
        <w:rPr>
          <w:rFonts w:ascii="Times" w:hAnsi="Times"/>
        </w:rPr>
        <w:instrText>ADDIN RW.CITE{{888 Friedman,Thomas L. 2012}}</w:instrText>
      </w:r>
      <w:r w:rsidR="00A951B2">
        <w:rPr>
          <w:rFonts w:ascii="Times" w:hAnsi="Times"/>
        </w:rPr>
        <w:fldChar w:fldCharType="separate"/>
      </w:r>
      <w:r w:rsidR="00EB4696" w:rsidRPr="00EB4696">
        <w:rPr>
          <w:rFonts w:ascii="Times" w:hAnsi="Times"/>
        </w:rPr>
        <w:t xml:space="preserve"> [7]</w:t>
      </w:r>
      <w:r w:rsidR="00A951B2">
        <w:rPr>
          <w:rFonts w:ascii="Times" w:hAnsi="Times"/>
        </w:rPr>
        <w:fldChar w:fldCharType="end"/>
      </w:r>
      <w:r w:rsidRPr="00DB7EE8">
        <w:rPr>
          <w:rFonts w:ascii="Times" w:hAnsi="Times"/>
        </w:rPr>
        <w:t>.</w:t>
      </w:r>
      <w:r w:rsidR="00085516" w:rsidRPr="00DB7EE8">
        <w:rPr>
          <w:rFonts w:ascii="Times" w:hAnsi="Times"/>
        </w:rPr>
        <w:t xml:space="preserve"> In ideal circumstances for “class-blind” educational opportunities, we </w:t>
      </w:r>
      <w:r w:rsidR="00046AB3" w:rsidRPr="00DB7EE8">
        <w:rPr>
          <w:rFonts w:ascii="Times" w:hAnsi="Times"/>
        </w:rPr>
        <w:t>would</w:t>
      </w:r>
      <w:r w:rsidR="00085516" w:rsidRPr="00DB7EE8">
        <w:rPr>
          <w:rFonts w:ascii="Times" w:hAnsi="Times"/>
        </w:rPr>
        <w:t xml:space="preserve"> hope to see </w:t>
      </w:r>
      <w:r w:rsidR="00CA4118">
        <w:rPr>
          <w:rFonts w:ascii="Times" w:hAnsi="Times"/>
        </w:rPr>
        <w:t>society’s</w:t>
      </w:r>
      <w:r w:rsidR="00085516" w:rsidRPr="00DB7EE8">
        <w:rPr>
          <w:rFonts w:ascii="Times" w:hAnsi="Times"/>
        </w:rPr>
        <w:t xml:space="preserve"> least</w:t>
      </w:r>
      <w:r w:rsidR="00CA4118">
        <w:rPr>
          <w:rFonts w:ascii="Times" w:hAnsi="Times"/>
        </w:rPr>
        <w:t xml:space="preserve"> affluent students </w:t>
      </w:r>
      <w:r w:rsidR="00085516" w:rsidRPr="00DB7EE8">
        <w:rPr>
          <w:rFonts w:ascii="Times" w:hAnsi="Times"/>
        </w:rPr>
        <w:t xml:space="preserve">equally or over-represented </w:t>
      </w:r>
      <w:r w:rsidR="00046AB3" w:rsidRPr="00DB7EE8">
        <w:rPr>
          <w:rFonts w:ascii="Times" w:hAnsi="Times"/>
        </w:rPr>
        <w:t xml:space="preserve">in the distribution of registrants. </w:t>
      </w:r>
      <w:r w:rsidRPr="00DB7EE8">
        <w:rPr>
          <w:rFonts w:ascii="Times" w:hAnsi="Times"/>
        </w:rPr>
        <w:t>The earliest evidence of MOOC enrollment, however, suggests that most registrants in courses already have a Bachelor’s degree</w:t>
      </w:r>
      <w:r w:rsidR="00D80A9D">
        <w:rPr>
          <w:rFonts w:ascii="Times" w:hAnsi="Times"/>
        </w:rPr>
        <w:t xml:space="preserve"> </w:t>
      </w:r>
      <w:r w:rsidR="00CF033C" w:rsidRPr="00DB7EE8">
        <w:rPr>
          <w:rFonts w:ascii="Times" w:hAnsi="Times"/>
        </w:rPr>
        <w:fldChar w:fldCharType="begin"/>
      </w:r>
      <w:r w:rsidR="00CF033C" w:rsidRPr="00DB7EE8">
        <w:rPr>
          <w:rFonts w:ascii="Times" w:hAnsi="Times"/>
        </w:rPr>
        <w:instrText>ADDIN RW.CITE{{818 Christensen, Gayle 2013;823 Ho, Andrew Dean 2014}}</w:instrText>
      </w:r>
      <w:r w:rsidR="00CF033C" w:rsidRPr="00DB7EE8">
        <w:rPr>
          <w:rFonts w:ascii="Times" w:hAnsi="Times"/>
        </w:rPr>
        <w:fldChar w:fldCharType="separate"/>
      </w:r>
      <w:r w:rsidR="004940BF" w:rsidRPr="004940BF">
        <w:rPr>
          <w:rFonts w:ascii="Times" w:hAnsi="Times"/>
        </w:rPr>
        <w:t>[4, 9]</w:t>
      </w:r>
      <w:r w:rsidR="00CF033C" w:rsidRPr="00DB7EE8">
        <w:rPr>
          <w:rFonts w:ascii="Times" w:hAnsi="Times"/>
        </w:rPr>
        <w:fldChar w:fldCharType="end"/>
      </w:r>
      <w:r w:rsidRPr="00DB7EE8">
        <w:rPr>
          <w:rFonts w:ascii="Times" w:hAnsi="Times"/>
        </w:rPr>
        <w:t>, raising the question of whether MOOCs are “reinforcing the advantages of the ‘haves’ rather t</w:t>
      </w:r>
      <w:r w:rsidR="00257EE5">
        <w:rPr>
          <w:rFonts w:ascii="Times" w:hAnsi="Times"/>
        </w:rPr>
        <w:t>han ‘educating’ the ‘have-nots’”</w:t>
      </w:r>
      <w:r w:rsidR="00CF033C" w:rsidRPr="00DB7EE8">
        <w:rPr>
          <w:rFonts w:ascii="Times" w:hAnsi="Times"/>
        </w:rPr>
        <w:fldChar w:fldCharType="begin"/>
      </w:r>
      <w:r w:rsidR="00CF033C" w:rsidRPr="00DB7EE8">
        <w:rPr>
          <w:rFonts w:ascii="Times" w:hAnsi="Times"/>
        </w:rPr>
        <w:instrText>ADDIN RW.CITE{{885 Emanuel,Ezekiel J. 2013}}</w:instrText>
      </w:r>
      <w:r w:rsidR="00CF033C" w:rsidRPr="00DB7EE8">
        <w:rPr>
          <w:rFonts w:ascii="Times" w:hAnsi="Times"/>
        </w:rPr>
        <w:fldChar w:fldCharType="separate"/>
      </w:r>
      <w:r w:rsidR="00EB4696" w:rsidRPr="00EB4696">
        <w:rPr>
          <w:rFonts w:ascii="Times" w:hAnsi="Times"/>
        </w:rPr>
        <w:t xml:space="preserve"> [5]</w:t>
      </w:r>
      <w:r w:rsidR="00CF033C" w:rsidRPr="00DB7EE8">
        <w:rPr>
          <w:rFonts w:ascii="Times" w:hAnsi="Times"/>
        </w:rPr>
        <w:fldChar w:fldCharType="end"/>
      </w:r>
      <w:r w:rsidR="00257EE5">
        <w:rPr>
          <w:rFonts w:ascii="Times" w:hAnsi="Times"/>
        </w:rPr>
        <w:t>.</w:t>
      </w:r>
      <w:r w:rsidR="00046AB3" w:rsidRPr="00DB7EE8">
        <w:rPr>
          <w:rFonts w:ascii="Times" w:hAnsi="Times"/>
        </w:rPr>
        <w:t xml:space="preserve"> </w:t>
      </w:r>
      <w:r w:rsidRPr="00DB7EE8">
        <w:rPr>
          <w:rFonts w:ascii="Times" w:hAnsi="Times"/>
        </w:rPr>
        <w:t xml:space="preserve">Understanding patterns of MOOC enrollment and engagement </w:t>
      </w:r>
      <w:r w:rsidR="00F41454">
        <w:rPr>
          <w:rFonts w:ascii="Times" w:hAnsi="Times"/>
        </w:rPr>
        <w:t xml:space="preserve">for </w:t>
      </w:r>
      <w:r w:rsidRPr="00DB7EE8">
        <w:rPr>
          <w:rFonts w:ascii="Times" w:hAnsi="Times"/>
        </w:rPr>
        <w:t xml:space="preserve"> students of different backgrounds is critic</w:t>
      </w:r>
      <w:r w:rsidR="00F41454">
        <w:rPr>
          <w:rFonts w:ascii="Times" w:hAnsi="Times"/>
        </w:rPr>
        <w:t>al to understanding the role that</w:t>
      </w:r>
      <w:r w:rsidRPr="00DB7EE8">
        <w:rPr>
          <w:rFonts w:ascii="Times" w:hAnsi="Times"/>
        </w:rPr>
        <w:t xml:space="preserve"> MOOCs </w:t>
      </w:r>
      <w:r w:rsidR="00F41454">
        <w:rPr>
          <w:rFonts w:ascii="Times" w:hAnsi="Times"/>
        </w:rPr>
        <w:t xml:space="preserve">can </w:t>
      </w:r>
      <w:r w:rsidRPr="00DB7EE8">
        <w:rPr>
          <w:rFonts w:ascii="Times" w:hAnsi="Times"/>
        </w:rPr>
        <w:t xml:space="preserve">play in ameliorating or exacerbating educational inequalities. </w:t>
      </w:r>
    </w:p>
    <w:p w14:paraId="5449888D" w14:textId="6A07FE90" w:rsidR="00266C72" w:rsidRPr="00DB7EE8" w:rsidRDefault="00D80A9D" w:rsidP="00266C72">
      <w:pPr>
        <w:rPr>
          <w:rFonts w:ascii="Times" w:hAnsi="Times"/>
        </w:rPr>
      </w:pPr>
      <w:r>
        <w:rPr>
          <w:rFonts w:ascii="Times" w:hAnsi="Times"/>
        </w:rPr>
        <w:t>In order to understand and address educational inequalities</w:t>
      </w:r>
      <w:r w:rsidR="00266C72" w:rsidRPr="00DB7EE8">
        <w:rPr>
          <w:rFonts w:ascii="Times" w:hAnsi="Times"/>
        </w:rPr>
        <w:t xml:space="preserve">, MOOC researchers </w:t>
      </w:r>
      <w:r w:rsidR="00046AB3" w:rsidRPr="00DB7EE8">
        <w:rPr>
          <w:rFonts w:ascii="Times" w:hAnsi="Times"/>
        </w:rPr>
        <w:t>need</w:t>
      </w:r>
      <w:r w:rsidR="00266C72" w:rsidRPr="00DB7EE8">
        <w:rPr>
          <w:rFonts w:ascii="Times" w:hAnsi="Times"/>
        </w:rPr>
        <w:t xml:space="preserve"> </w:t>
      </w:r>
      <w:r w:rsidR="00D41710">
        <w:rPr>
          <w:rFonts w:ascii="Times" w:hAnsi="Times"/>
        </w:rPr>
        <w:t>detailed demographic information about participating students</w:t>
      </w:r>
      <w:r w:rsidR="00266C72" w:rsidRPr="00DB7EE8">
        <w:rPr>
          <w:rFonts w:ascii="Times" w:hAnsi="Times"/>
        </w:rPr>
        <w:t>. In particular</w:t>
      </w:r>
      <w:r w:rsidR="00F41454">
        <w:rPr>
          <w:rFonts w:ascii="Times" w:hAnsi="Times"/>
        </w:rPr>
        <w:t>,</w:t>
      </w:r>
      <w:r w:rsidR="00266C72" w:rsidRPr="00DB7EE8">
        <w:rPr>
          <w:rFonts w:ascii="Times" w:hAnsi="Times"/>
        </w:rPr>
        <w:t xml:space="preserve"> we are interested in demographic information that provides i</w:t>
      </w:r>
      <w:r w:rsidR="00F41454">
        <w:rPr>
          <w:rFonts w:ascii="Times" w:hAnsi="Times"/>
        </w:rPr>
        <w:t xml:space="preserve">nsight into </w:t>
      </w:r>
      <w:r w:rsidR="000C6387">
        <w:rPr>
          <w:rFonts w:ascii="Times" w:hAnsi="Times"/>
        </w:rPr>
        <w:t xml:space="preserve"> registrants</w:t>
      </w:r>
      <w:r w:rsidR="00F41454">
        <w:rPr>
          <w:rFonts w:ascii="Times" w:hAnsi="Times"/>
        </w:rPr>
        <w:t>’</w:t>
      </w:r>
      <w:r w:rsidR="000C6387">
        <w:rPr>
          <w:rFonts w:ascii="Times" w:hAnsi="Times"/>
        </w:rPr>
        <w:t xml:space="preserve"> socio</w:t>
      </w:r>
      <w:r w:rsidR="00266C72" w:rsidRPr="00DB7EE8">
        <w:rPr>
          <w:rFonts w:ascii="Times" w:hAnsi="Times"/>
        </w:rPr>
        <w:t>economic status (SES), which is broadly defined as “one’s access to financial, social, cultural, and human capital resour</w:t>
      </w:r>
      <w:r w:rsidR="00EB7B62" w:rsidRPr="00DB7EE8">
        <w:rPr>
          <w:rFonts w:ascii="Times" w:hAnsi="Times"/>
        </w:rPr>
        <w:t>ces”</w:t>
      </w:r>
      <w:r w:rsidR="00131907">
        <w:rPr>
          <w:rFonts w:ascii="Times" w:hAnsi="Times"/>
        </w:rPr>
        <w:fldChar w:fldCharType="begin"/>
      </w:r>
      <w:r w:rsidR="00131907">
        <w:rPr>
          <w:rFonts w:ascii="Times" w:hAnsi="Times"/>
        </w:rPr>
        <w:instrText>ADDIN RW.CITE{{898 National Center for Education Statistics 2012}}</w:instrText>
      </w:r>
      <w:r w:rsidR="00131907">
        <w:rPr>
          <w:rFonts w:ascii="Times" w:hAnsi="Times"/>
        </w:rPr>
        <w:fldChar w:fldCharType="separate"/>
      </w:r>
      <w:r w:rsidR="00EB4696" w:rsidRPr="00EB4696">
        <w:rPr>
          <w:rFonts w:ascii="Times" w:hAnsi="Times"/>
        </w:rPr>
        <w:t xml:space="preserve"> [11]</w:t>
      </w:r>
      <w:r w:rsidR="00131907">
        <w:rPr>
          <w:rFonts w:ascii="Times" w:hAnsi="Times"/>
        </w:rPr>
        <w:fldChar w:fldCharType="end"/>
      </w:r>
      <w:r w:rsidR="00D41710">
        <w:rPr>
          <w:rFonts w:ascii="Times" w:hAnsi="Times"/>
        </w:rPr>
        <w:t>.</w:t>
      </w:r>
      <w:r w:rsidR="00EB7B62" w:rsidRPr="00DB7EE8">
        <w:rPr>
          <w:rFonts w:ascii="Times" w:hAnsi="Times"/>
        </w:rPr>
        <w:t xml:space="preserve"> </w:t>
      </w:r>
      <w:r w:rsidR="00D41710">
        <w:rPr>
          <w:rFonts w:ascii="Times" w:hAnsi="Times"/>
        </w:rPr>
        <w:t>A panel of experts assembled by t</w:t>
      </w:r>
      <w:r w:rsidR="00131907">
        <w:rPr>
          <w:rFonts w:ascii="Times" w:hAnsi="Times"/>
        </w:rPr>
        <w:t>he National Center for Education Statistics identifies</w:t>
      </w:r>
      <w:r w:rsidR="00EB7B62" w:rsidRPr="00DB7EE8">
        <w:rPr>
          <w:rFonts w:ascii="Times" w:hAnsi="Times"/>
        </w:rPr>
        <w:t xml:space="preserve"> a triad of measures that are generally agreed to be most useful in</w:t>
      </w:r>
      <w:r w:rsidR="00266C72" w:rsidRPr="00DB7EE8">
        <w:rPr>
          <w:rFonts w:ascii="Times" w:hAnsi="Times"/>
        </w:rPr>
        <w:t xml:space="preserve"> characterizing student </w:t>
      </w:r>
      <w:r w:rsidR="00D41710">
        <w:rPr>
          <w:rFonts w:ascii="Times" w:hAnsi="Times"/>
        </w:rPr>
        <w:t>SES</w:t>
      </w:r>
      <w:r w:rsidR="00266C72" w:rsidRPr="00DB7EE8">
        <w:rPr>
          <w:rFonts w:ascii="Times" w:hAnsi="Times"/>
        </w:rPr>
        <w:t xml:space="preserve">: family income, parental </w:t>
      </w:r>
      <w:r w:rsidR="00D41710">
        <w:rPr>
          <w:rFonts w:ascii="Times" w:hAnsi="Times"/>
        </w:rPr>
        <w:t>educational attainment,</w:t>
      </w:r>
      <w:r w:rsidR="00266C72" w:rsidRPr="00DB7EE8">
        <w:rPr>
          <w:rFonts w:ascii="Times" w:hAnsi="Times"/>
        </w:rPr>
        <w:t xml:space="preserve"> and parental occupational status. </w:t>
      </w:r>
      <w:r w:rsidR="00F41454">
        <w:rPr>
          <w:rFonts w:ascii="Times" w:hAnsi="Times"/>
        </w:rPr>
        <w:t xml:space="preserve">This </w:t>
      </w:r>
      <w:r w:rsidR="00EB7B62" w:rsidRPr="00DB7EE8">
        <w:rPr>
          <w:rFonts w:ascii="Times" w:hAnsi="Times"/>
        </w:rPr>
        <w:t>information is</w:t>
      </w:r>
      <w:r w:rsidR="00C00328" w:rsidRPr="00DB7EE8">
        <w:rPr>
          <w:rFonts w:ascii="Times" w:hAnsi="Times"/>
        </w:rPr>
        <w:t xml:space="preserve"> regularly</w:t>
      </w:r>
      <w:r w:rsidR="00EB7B62" w:rsidRPr="00DB7EE8">
        <w:rPr>
          <w:rFonts w:ascii="Times" w:hAnsi="Times"/>
        </w:rPr>
        <w:t xml:space="preserve"> available </w:t>
      </w:r>
      <w:r w:rsidR="00C00328" w:rsidRPr="00DB7EE8">
        <w:rPr>
          <w:rFonts w:ascii="Times" w:hAnsi="Times"/>
        </w:rPr>
        <w:t>to</w:t>
      </w:r>
      <w:r w:rsidR="00EB7B62" w:rsidRPr="00DB7EE8">
        <w:rPr>
          <w:rFonts w:ascii="Times" w:hAnsi="Times"/>
        </w:rPr>
        <w:t xml:space="preserve"> higher education</w:t>
      </w:r>
      <w:r w:rsidR="00C00328" w:rsidRPr="00DB7EE8">
        <w:rPr>
          <w:rFonts w:ascii="Times" w:hAnsi="Times"/>
        </w:rPr>
        <w:t xml:space="preserve"> researchers</w:t>
      </w:r>
      <w:r w:rsidR="00EB7B62" w:rsidRPr="00DB7EE8">
        <w:rPr>
          <w:rFonts w:ascii="Times" w:hAnsi="Times"/>
        </w:rPr>
        <w:t xml:space="preserve">, as </w:t>
      </w:r>
      <w:r w:rsidR="00270FB1" w:rsidRPr="00DB7EE8">
        <w:rPr>
          <w:rFonts w:ascii="Times" w:hAnsi="Times"/>
        </w:rPr>
        <w:t>colleges typically ask appl</w:t>
      </w:r>
      <w:r w:rsidR="00D41710">
        <w:rPr>
          <w:rFonts w:ascii="Times" w:hAnsi="Times"/>
        </w:rPr>
        <w:t xml:space="preserve">icants to report their </w:t>
      </w:r>
      <w:r w:rsidR="00CF3023">
        <w:rPr>
          <w:rFonts w:ascii="Times" w:hAnsi="Times"/>
        </w:rPr>
        <w:t>parent</w:t>
      </w:r>
      <w:r w:rsidR="00270FB1" w:rsidRPr="00DB7EE8">
        <w:rPr>
          <w:rFonts w:ascii="Times" w:hAnsi="Times"/>
        </w:rPr>
        <w:t>s</w:t>
      </w:r>
      <w:r w:rsidR="00D41710">
        <w:rPr>
          <w:rFonts w:ascii="Times" w:hAnsi="Times"/>
        </w:rPr>
        <w:t>’</w:t>
      </w:r>
      <w:r w:rsidR="00270FB1" w:rsidRPr="00DB7EE8">
        <w:rPr>
          <w:rFonts w:ascii="Times" w:hAnsi="Times"/>
        </w:rPr>
        <w:t xml:space="preserve"> educational </w:t>
      </w:r>
      <w:r w:rsidR="00C00328" w:rsidRPr="00DB7EE8">
        <w:rPr>
          <w:rFonts w:ascii="Times" w:hAnsi="Times"/>
        </w:rPr>
        <w:t>attainment and occupation,</w:t>
      </w:r>
      <w:r w:rsidR="005F56C6" w:rsidRPr="00DB7EE8">
        <w:rPr>
          <w:rFonts w:ascii="Times" w:hAnsi="Times"/>
        </w:rPr>
        <w:t xml:space="preserve"> and </w:t>
      </w:r>
      <w:r w:rsidR="00C00328" w:rsidRPr="00DB7EE8">
        <w:rPr>
          <w:rFonts w:ascii="Times" w:hAnsi="Times"/>
        </w:rPr>
        <w:t>applications for financial aid request detailed information on family income and assets.</w:t>
      </w:r>
    </w:p>
    <w:p w14:paraId="24087486" w14:textId="084E6BFA" w:rsidR="00266C72" w:rsidRPr="00DB7EE8" w:rsidRDefault="00841B8C" w:rsidP="00266C72">
      <w:pPr>
        <w:rPr>
          <w:rFonts w:ascii="Times" w:hAnsi="Times"/>
        </w:rPr>
      </w:pPr>
      <w:r w:rsidRPr="00DB7EE8">
        <w:rPr>
          <w:rFonts w:ascii="Times" w:hAnsi="Times"/>
        </w:rPr>
        <w:t xml:space="preserve">These SES measures, however, are not available for MOOC registrants. In an effort to maximize enrollment, MOOC providers minimize barriers to entry for courses, so students can register with only a few mouse clicks. </w:t>
      </w:r>
      <w:r w:rsidR="00266C72" w:rsidRPr="00DB7EE8">
        <w:rPr>
          <w:rFonts w:ascii="Times" w:hAnsi="Times"/>
        </w:rPr>
        <w:t xml:space="preserve">As a result, MOOC providers rely on brief, voluntary surveys to gather demographic data. For instance, to register for the edX site, registrants are only asked to provide their gender, year of birth, level of education, and address. These forms do not paint a detailed demographic picture of the registrant. Many courses then offer more detailed surveys </w:t>
      </w:r>
      <w:r w:rsidR="007F0F29" w:rsidRPr="00DB7EE8">
        <w:rPr>
          <w:rFonts w:ascii="Times" w:hAnsi="Times"/>
        </w:rPr>
        <w:t>for registered students</w:t>
      </w:r>
      <w:r w:rsidR="00266C72" w:rsidRPr="00DB7EE8">
        <w:rPr>
          <w:rFonts w:ascii="Times" w:hAnsi="Times"/>
        </w:rPr>
        <w:t xml:space="preserve">, but course faculty and MOOC providers are rightly hesitant about </w:t>
      </w:r>
      <w:r w:rsidR="00A6717F">
        <w:rPr>
          <w:rFonts w:ascii="Times" w:hAnsi="Times"/>
        </w:rPr>
        <w:t xml:space="preserve">soliciting personal information </w:t>
      </w:r>
      <w:r w:rsidR="00266C72" w:rsidRPr="00DB7EE8">
        <w:rPr>
          <w:rFonts w:ascii="Times" w:hAnsi="Times"/>
        </w:rPr>
        <w:t xml:space="preserve">in the early days of a course. Investigating the impact of MOOCs on students from different backgrounds requires creative approaches to leveraging </w:t>
      </w:r>
      <w:r w:rsidR="006E3DCB" w:rsidRPr="00DB7EE8">
        <w:rPr>
          <w:rFonts w:ascii="Times" w:hAnsi="Times"/>
        </w:rPr>
        <w:t>available data</w:t>
      </w:r>
      <w:r w:rsidR="00266C72" w:rsidRPr="00DB7EE8">
        <w:rPr>
          <w:rFonts w:ascii="Times" w:hAnsi="Times"/>
        </w:rPr>
        <w:t>.</w:t>
      </w:r>
    </w:p>
    <w:p w14:paraId="1755671D" w14:textId="2BB47616" w:rsidR="00422B38" w:rsidRPr="00DB7EE8" w:rsidRDefault="006E3DCB" w:rsidP="00336F85">
      <w:pPr>
        <w:rPr>
          <w:rFonts w:ascii="Times" w:hAnsi="Times"/>
        </w:rPr>
      </w:pPr>
      <w:r w:rsidRPr="00DB7EE8">
        <w:rPr>
          <w:rFonts w:ascii="Times" w:hAnsi="Times"/>
        </w:rPr>
        <w:lastRenderedPageBreak/>
        <w:t xml:space="preserve">In this paper, we show how </w:t>
      </w:r>
      <w:r w:rsidR="001777D2" w:rsidRPr="00DB7EE8">
        <w:rPr>
          <w:rFonts w:ascii="Times" w:hAnsi="Times"/>
        </w:rPr>
        <w:t>third</w:t>
      </w:r>
      <w:r w:rsidRPr="00DB7EE8">
        <w:rPr>
          <w:rFonts w:ascii="Times" w:hAnsi="Times"/>
        </w:rPr>
        <w:t xml:space="preserve">-party </w:t>
      </w:r>
      <w:r w:rsidR="00A6717F">
        <w:rPr>
          <w:rFonts w:ascii="Times" w:hAnsi="Times"/>
        </w:rPr>
        <w:t>census</w:t>
      </w:r>
      <w:r w:rsidRPr="00DB7EE8">
        <w:rPr>
          <w:rFonts w:ascii="Times" w:hAnsi="Times"/>
        </w:rPr>
        <w:t xml:space="preserve"> datasets can be used to enrich the limited SES data collected by</w:t>
      </w:r>
      <w:r w:rsidR="006D6C57">
        <w:rPr>
          <w:rFonts w:ascii="Times" w:hAnsi="Times"/>
        </w:rPr>
        <w:t xml:space="preserve"> a MOOC platform in order</w:t>
      </w:r>
      <w:r w:rsidR="002E6997">
        <w:rPr>
          <w:rFonts w:ascii="Times" w:hAnsi="Times"/>
        </w:rPr>
        <w:t xml:space="preserve"> to provide a</w:t>
      </w:r>
      <w:r w:rsidRPr="00DB7EE8">
        <w:rPr>
          <w:rFonts w:ascii="Times" w:hAnsi="Times"/>
        </w:rPr>
        <w:t xml:space="preserve"> richer </w:t>
      </w:r>
      <w:r w:rsidR="006D6C57">
        <w:rPr>
          <w:rFonts w:ascii="Times" w:hAnsi="Times"/>
        </w:rPr>
        <w:t>understanding</w:t>
      </w:r>
      <w:r w:rsidRPr="00DB7EE8">
        <w:rPr>
          <w:rFonts w:ascii="Times" w:hAnsi="Times"/>
        </w:rPr>
        <w:t xml:space="preserve"> of student background characteristics. </w:t>
      </w:r>
      <w:r w:rsidR="00336F85" w:rsidRPr="00DB7EE8">
        <w:rPr>
          <w:rFonts w:ascii="Times" w:hAnsi="Times"/>
        </w:rPr>
        <w:t xml:space="preserve">We demonstrate three important uses of these third-party datasets: </w:t>
      </w:r>
      <w:r w:rsidR="006D6C57">
        <w:rPr>
          <w:rFonts w:ascii="Times" w:hAnsi="Times"/>
        </w:rPr>
        <w:t>merging</w:t>
      </w:r>
      <w:r w:rsidR="00336F85" w:rsidRPr="00DB7EE8">
        <w:rPr>
          <w:rFonts w:ascii="Times" w:hAnsi="Times"/>
        </w:rPr>
        <w:t xml:space="preserve">, comparing, and </w:t>
      </w:r>
      <w:r w:rsidR="00642898" w:rsidRPr="00DB7EE8">
        <w:rPr>
          <w:rFonts w:ascii="Times" w:hAnsi="Times"/>
        </w:rPr>
        <w:t xml:space="preserve">response bias </w:t>
      </w:r>
      <w:r w:rsidR="001777D2" w:rsidRPr="00DB7EE8">
        <w:rPr>
          <w:rFonts w:ascii="Times" w:hAnsi="Times"/>
        </w:rPr>
        <w:t>testing</w:t>
      </w:r>
      <w:r w:rsidR="00336F85" w:rsidRPr="00DB7EE8">
        <w:rPr>
          <w:rFonts w:ascii="Times" w:hAnsi="Times"/>
        </w:rPr>
        <w:t>.</w:t>
      </w:r>
      <w:r w:rsidR="00266C72" w:rsidRPr="00DB7EE8">
        <w:rPr>
          <w:rFonts w:ascii="Times" w:hAnsi="Times"/>
        </w:rPr>
        <w:t xml:space="preserve"> First, we use </w:t>
      </w:r>
      <w:r w:rsidR="00B370D6">
        <w:rPr>
          <w:rFonts w:ascii="Times" w:hAnsi="Times"/>
        </w:rPr>
        <w:t xml:space="preserve">self-reported </w:t>
      </w:r>
      <w:r w:rsidR="00266C72" w:rsidRPr="00DB7EE8">
        <w:rPr>
          <w:rFonts w:ascii="Times" w:hAnsi="Times"/>
        </w:rPr>
        <w:t xml:space="preserve">student addresses to identify </w:t>
      </w:r>
      <w:r w:rsidR="00016118">
        <w:rPr>
          <w:rFonts w:ascii="Times" w:hAnsi="Times"/>
        </w:rPr>
        <w:t>student</w:t>
      </w:r>
      <w:r w:rsidR="00266C72" w:rsidRPr="00DB7EE8">
        <w:rPr>
          <w:rFonts w:ascii="Times" w:hAnsi="Times"/>
        </w:rPr>
        <w:t xml:space="preserve"> neighborhoods, and then use data about </w:t>
      </w:r>
      <w:r w:rsidR="00642898" w:rsidRPr="00DB7EE8">
        <w:rPr>
          <w:rFonts w:ascii="Times" w:hAnsi="Times"/>
        </w:rPr>
        <w:t xml:space="preserve">a neighborhood’s </w:t>
      </w:r>
      <w:r w:rsidR="00266C72" w:rsidRPr="00DB7EE8">
        <w:rPr>
          <w:rFonts w:ascii="Times" w:hAnsi="Times"/>
        </w:rPr>
        <w:t xml:space="preserve">median </w:t>
      </w:r>
      <w:r w:rsidR="00642898" w:rsidRPr="00DB7EE8">
        <w:rPr>
          <w:rFonts w:ascii="Times" w:hAnsi="Times"/>
        </w:rPr>
        <w:t xml:space="preserve">household </w:t>
      </w:r>
      <w:r w:rsidR="00266C72" w:rsidRPr="00DB7EE8">
        <w:rPr>
          <w:rFonts w:ascii="Times" w:hAnsi="Times"/>
        </w:rPr>
        <w:t xml:space="preserve">income as a </w:t>
      </w:r>
      <w:r w:rsidR="00B370D6">
        <w:rPr>
          <w:rFonts w:ascii="Times" w:hAnsi="Times"/>
        </w:rPr>
        <w:t>measure of SES, as discuss</w:t>
      </w:r>
      <w:r w:rsidR="00032B12" w:rsidRPr="00DB7EE8">
        <w:rPr>
          <w:rFonts w:ascii="Times" w:hAnsi="Times"/>
        </w:rPr>
        <w:t>ed</w:t>
      </w:r>
      <w:r w:rsidR="00B370D6">
        <w:rPr>
          <w:rFonts w:ascii="Times" w:hAnsi="Times"/>
        </w:rPr>
        <w:t xml:space="preserve"> by the NCES panel</w:t>
      </w:r>
      <w:r w:rsidR="003717B8" w:rsidRPr="00DB7EE8">
        <w:rPr>
          <w:rFonts w:ascii="Times" w:hAnsi="Times"/>
        </w:rPr>
        <w:t xml:space="preserve"> </w:t>
      </w:r>
      <w:r w:rsidR="00D929B3">
        <w:rPr>
          <w:rFonts w:ascii="Times" w:hAnsi="Times"/>
        </w:rPr>
        <w:fldChar w:fldCharType="begin"/>
      </w:r>
      <w:r w:rsidR="00D929B3">
        <w:rPr>
          <w:rFonts w:ascii="Times" w:hAnsi="Times"/>
        </w:rPr>
        <w:instrText>ADDIN RW.CITE{{898 National Center for Education Statistics 2012}}</w:instrText>
      </w:r>
      <w:r w:rsidR="00D929B3">
        <w:rPr>
          <w:rFonts w:ascii="Times" w:hAnsi="Times"/>
        </w:rPr>
        <w:fldChar w:fldCharType="separate"/>
      </w:r>
      <w:r w:rsidR="004940BF" w:rsidRPr="004940BF">
        <w:rPr>
          <w:rFonts w:ascii="Times" w:hAnsi="Times"/>
        </w:rPr>
        <w:t>[11]</w:t>
      </w:r>
      <w:r w:rsidR="00D929B3">
        <w:rPr>
          <w:rFonts w:ascii="Times" w:hAnsi="Times"/>
        </w:rPr>
        <w:fldChar w:fldCharType="end"/>
      </w:r>
      <w:r w:rsidR="00422B38" w:rsidRPr="00DB7EE8">
        <w:rPr>
          <w:rFonts w:ascii="Times" w:hAnsi="Times"/>
        </w:rPr>
        <w:t>.</w:t>
      </w:r>
      <w:r w:rsidR="00C11AFB" w:rsidRPr="00DB7EE8">
        <w:rPr>
          <w:rFonts w:ascii="Times" w:hAnsi="Times"/>
        </w:rPr>
        <w:t xml:space="preserve"> </w:t>
      </w:r>
      <w:r w:rsidR="00B370D6">
        <w:rPr>
          <w:rFonts w:ascii="Times" w:hAnsi="Times"/>
        </w:rPr>
        <w:t>Previous research has found that n</w:t>
      </w:r>
      <w:r w:rsidR="00C11AFB" w:rsidRPr="00DB7EE8">
        <w:rPr>
          <w:rFonts w:ascii="Times" w:hAnsi="Times"/>
        </w:rPr>
        <w:t xml:space="preserve">eighborhood affluence </w:t>
      </w:r>
      <w:r w:rsidR="00B370D6">
        <w:rPr>
          <w:rFonts w:ascii="Times" w:hAnsi="Times"/>
        </w:rPr>
        <w:t xml:space="preserve">is </w:t>
      </w:r>
      <w:r w:rsidR="00C11AFB" w:rsidRPr="00DB7EE8">
        <w:rPr>
          <w:rFonts w:ascii="Times" w:hAnsi="Times"/>
        </w:rPr>
        <w:t>related to college attendance for adol</w:t>
      </w:r>
      <w:r w:rsidR="00127191" w:rsidRPr="00DB7EE8">
        <w:rPr>
          <w:rFonts w:ascii="Times" w:hAnsi="Times"/>
        </w:rPr>
        <w:t>escents</w:t>
      </w:r>
      <w:r w:rsidR="006D6C57">
        <w:rPr>
          <w:rFonts w:ascii="Times" w:hAnsi="Times"/>
        </w:rPr>
        <w:t xml:space="preserve"> </w:t>
      </w:r>
      <w:r w:rsidR="00D929B3">
        <w:rPr>
          <w:rFonts w:ascii="Times" w:hAnsi="Times"/>
        </w:rPr>
        <w:fldChar w:fldCharType="begin"/>
      </w:r>
      <w:r w:rsidR="00D929B3">
        <w:rPr>
          <w:rFonts w:ascii="Times" w:hAnsi="Times"/>
        </w:rPr>
        <w:instrText>ADDIN RW.CITE{{889 Bowen, William G. 2009}}</w:instrText>
      </w:r>
      <w:r w:rsidR="00D929B3">
        <w:rPr>
          <w:rFonts w:ascii="Times" w:hAnsi="Times"/>
        </w:rPr>
        <w:fldChar w:fldCharType="separate"/>
      </w:r>
      <w:r w:rsidR="004940BF" w:rsidRPr="004940BF">
        <w:rPr>
          <w:rFonts w:ascii="Times" w:hAnsi="Times"/>
        </w:rPr>
        <w:t>[3]</w:t>
      </w:r>
      <w:r w:rsidR="00D929B3">
        <w:rPr>
          <w:rFonts w:ascii="Times" w:hAnsi="Times"/>
        </w:rPr>
        <w:fldChar w:fldCharType="end"/>
      </w:r>
      <w:r w:rsidR="00127191" w:rsidRPr="00DB7EE8">
        <w:rPr>
          <w:rFonts w:ascii="Times" w:hAnsi="Times"/>
        </w:rPr>
        <w:t xml:space="preserve"> and </w:t>
      </w:r>
      <w:r w:rsidR="006D6C57">
        <w:rPr>
          <w:rFonts w:ascii="Times" w:hAnsi="Times"/>
        </w:rPr>
        <w:t xml:space="preserve">levels of </w:t>
      </w:r>
      <w:r w:rsidR="00127191" w:rsidRPr="00DB7EE8">
        <w:rPr>
          <w:rFonts w:ascii="Times" w:hAnsi="Times"/>
        </w:rPr>
        <w:t>peer group income and educational attainment for adults</w:t>
      </w:r>
      <w:r w:rsidR="00842646">
        <w:rPr>
          <w:rFonts w:ascii="Times" w:hAnsi="Times"/>
        </w:rPr>
        <w:t xml:space="preserve"> </w:t>
      </w:r>
      <w:r w:rsidR="00842646">
        <w:rPr>
          <w:rFonts w:ascii="Times" w:hAnsi="Times"/>
        </w:rPr>
        <w:fldChar w:fldCharType="begin"/>
      </w:r>
      <w:r w:rsidR="00842646">
        <w:rPr>
          <w:rFonts w:ascii="Times" w:hAnsi="Times"/>
        </w:rPr>
        <w:instrText>ADDIN RW.CITE{{899 Kling, Jeffrey R 2007}}</w:instrText>
      </w:r>
      <w:r w:rsidR="00842646">
        <w:rPr>
          <w:rFonts w:ascii="Times" w:hAnsi="Times"/>
        </w:rPr>
        <w:fldChar w:fldCharType="separate"/>
      </w:r>
      <w:r w:rsidR="004940BF" w:rsidRPr="004940BF">
        <w:rPr>
          <w:rFonts w:ascii="Times" w:hAnsi="Times"/>
        </w:rPr>
        <w:t>[10]</w:t>
      </w:r>
      <w:r w:rsidR="00842646">
        <w:rPr>
          <w:rFonts w:ascii="Times" w:hAnsi="Times"/>
        </w:rPr>
        <w:fldChar w:fldCharType="end"/>
      </w:r>
      <w:r w:rsidR="00C11AFB" w:rsidRPr="00DB7EE8">
        <w:rPr>
          <w:rFonts w:ascii="Times" w:hAnsi="Times"/>
        </w:rPr>
        <w:t xml:space="preserve">. </w:t>
      </w:r>
      <w:r w:rsidR="008F763C" w:rsidRPr="00DB7EE8">
        <w:rPr>
          <w:rFonts w:ascii="Times" w:hAnsi="Times"/>
        </w:rPr>
        <w:t xml:space="preserve">Second, we </w:t>
      </w:r>
      <w:r w:rsidR="00266C72" w:rsidRPr="00DB7EE8">
        <w:rPr>
          <w:rFonts w:ascii="Times" w:hAnsi="Times"/>
        </w:rPr>
        <w:t>compare the distributions of median neighborhood income and parent</w:t>
      </w:r>
      <w:r w:rsidR="00422B38" w:rsidRPr="00DB7EE8">
        <w:rPr>
          <w:rFonts w:ascii="Times" w:hAnsi="Times"/>
        </w:rPr>
        <w:t>al education levels of MOOC</w:t>
      </w:r>
      <w:r w:rsidR="005D5C0C" w:rsidRPr="00DB7EE8">
        <w:rPr>
          <w:rStyle w:val="CommentReference"/>
          <w:rFonts w:ascii="Times" w:hAnsi="Times"/>
        </w:rPr>
        <w:t xml:space="preserve"> </w:t>
      </w:r>
      <w:r w:rsidR="006D6C57">
        <w:rPr>
          <w:rFonts w:ascii="Times" w:hAnsi="Times"/>
        </w:rPr>
        <w:t>re</w:t>
      </w:r>
      <w:r w:rsidR="00266C72" w:rsidRPr="00DB7EE8">
        <w:rPr>
          <w:rFonts w:ascii="Times" w:hAnsi="Times"/>
        </w:rPr>
        <w:t xml:space="preserve">gistrants to the U.S. population as a whole. </w:t>
      </w:r>
      <w:r w:rsidR="00422B38" w:rsidRPr="00DB7EE8">
        <w:rPr>
          <w:rFonts w:ascii="Times" w:hAnsi="Times"/>
        </w:rPr>
        <w:t xml:space="preserve">Third, we </w:t>
      </w:r>
      <w:r w:rsidR="005D5C0C" w:rsidRPr="00DB7EE8">
        <w:rPr>
          <w:rFonts w:ascii="Times" w:hAnsi="Times"/>
        </w:rPr>
        <w:t xml:space="preserve">use </w:t>
      </w:r>
      <w:r w:rsidR="00422B38" w:rsidRPr="00DB7EE8">
        <w:rPr>
          <w:rFonts w:ascii="Times" w:hAnsi="Times"/>
        </w:rPr>
        <w:t xml:space="preserve">the </w:t>
      </w:r>
      <w:r w:rsidR="00016118">
        <w:rPr>
          <w:rFonts w:ascii="Times" w:hAnsi="Times"/>
        </w:rPr>
        <w:t>more</w:t>
      </w:r>
      <w:r w:rsidR="00422B38" w:rsidRPr="00DB7EE8">
        <w:rPr>
          <w:rFonts w:ascii="Times" w:hAnsi="Times"/>
        </w:rPr>
        <w:t xml:space="preserve"> complete address</w:t>
      </w:r>
      <w:r w:rsidR="002A6DDB">
        <w:rPr>
          <w:rFonts w:ascii="Times" w:hAnsi="Times"/>
        </w:rPr>
        <w:t xml:space="preserve"> data—which becomes neighborhood data—</w:t>
      </w:r>
      <w:r w:rsidR="002E6997">
        <w:rPr>
          <w:rFonts w:ascii="Times" w:hAnsi="Times"/>
        </w:rPr>
        <w:t>from the</w:t>
      </w:r>
      <w:r w:rsidR="00422B38" w:rsidRPr="00DB7EE8">
        <w:rPr>
          <w:rFonts w:ascii="Times" w:hAnsi="Times"/>
        </w:rPr>
        <w:t xml:space="preserve"> edX site registration to check for </w:t>
      </w:r>
      <w:r w:rsidR="00AD4B19" w:rsidRPr="00DB7EE8">
        <w:rPr>
          <w:rFonts w:ascii="Times" w:hAnsi="Times"/>
        </w:rPr>
        <w:t>SES-related</w:t>
      </w:r>
      <w:r w:rsidR="008F763C" w:rsidRPr="00DB7EE8">
        <w:rPr>
          <w:rFonts w:ascii="Times" w:hAnsi="Times"/>
        </w:rPr>
        <w:t xml:space="preserve"> </w:t>
      </w:r>
      <w:r w:rsidR="00422B38" w:rsidRPr="00DB7EE8">
        <w:rPr>
          <w:rFonts w:ascii="Times" w:hAnsi="Times"/>
        </w:rPr>
        <w:t xml:space="preserve">response-bias in </w:t>
      </w:r>
      <w:r w:rsidR="00AD4B19" w:rsidRPr="00DB7EE8">
        <w:rPr>
          <w:rFonts w:ascii="Times" w:hAnsi="Times"/>
        </w:rPr>
        <w:t>the p</w:t>
      </w:r>
      <w:r w:rsidR="00016118">
        <w:rPr>
          <w:rFonts w:ascii="Times" w:hAnsi="Times"/>
        </w:rPr>
        <w:t xml:space="preserve">arental education item from HarvardX course </w:t>
      </w:r>
      <w:r w:rsidR="00AD4B19" w:rsidRPr="00DB7EE8">
        <w:rPr>
          <w:rFonts w:ascii="Times" w:hAnsi="Times"/>
        </w:rPr>
        <w:t xml:space="preserve">surveys. </w:t>
      </w:r>
      <w:r w:rsidR="005D5C0C" w:rsidRPr="00DB7EE8">
        <w:rPr>
          <w:rFonts w:ascii="Times" w:hAnsi="Times"/>
        </w:rPr>
        <w:t xml:space="preserve"> </w:t>
      </w:r>
    </w:p>
    <w:p w14:paraId="736AF059" w14:textId="3C6186F6" w:rsidR="00266C72" w:rsidRPr="00DB7EE8" w:rsidRDefault="005D5C0C" w:rsidP="002552D0">
      <w:pPr>
        <w:rPr>
          <w:rFonts w:ascii="Times" w:hAnsi="Times"/>
        </w:rPr>
      </w:pPr>
      <w:r w:rsidRPr="00DB7EE8">
        <w:rPr>
          <w:rFonts w:ascii="Times" w:hAnsi="Times"/>
        </w:rPr>
        <w:t xml:space="preserve">We demonstrate the importance of these data-analytic strategies </w:t>
      </w:r>
      <w:r w:rsidR="002552D0" w:rsidRPr="00DB7EE8">
        <w:rPr>
          <w:rFonts w:ascii="Times" w:hAnsi="Times"/>
        </w:rPr>
        <w:t>in an investigation of the relationship between SES and registration in nine MOOCs offered by Ha</w:t>
      </w:r>
      <w:r w:rsidR="007F0F29" w:rsidRPr="00DB7EE8">
        <w:rPr>
          <w:rFonts w:ascii="Times" w:hAnsi="Times"/>
        </w:rPr>
        <w:t>rvardX—an initiative by Harvard U</w:t>
      </w:r>
      <w:r w:rsidR="002552D0" w:rsidRPr="00DB7EE8">
        <w:rPr>
          <w:rFonts w:ascii="Times" w:hAnsi="Times"/>
        </w:rPr>
        <w:t>niversity to offer MOOCs through the edX platform—in the 2013-2014 academic year. To better understand how access to re</w:t>
      </w:r>
      <w:r w:rsidR="00376C19" w:rsidRPr="00DB7EE8">
        <w:rPr>
          <w:rFonts w:ascii="Times" w:hAnsi="Times"/>
        </w:rPr>
        <w:t>sources shapes MOOC enrollment</w:t>
      </w:r>
      <w:r w:rsidR="002552D0" w:rsidRPr="00DB7EE8">
        <w:rPr>
          <w:rFonts w:ascii="Times" w:hAnsi="Times"/>
        </w:rPr>
        <w:t xml:space="preserve">, we </w:t>
      </w:r>
      <w:r w:rsidR="007F0F29" w:rsidRPr="00DB7EE8">
        <w:rPr>
          <w:rFonts w:ascii="Times" w:hAnsi="Times"/>
        </w:rPr>
        <w:t>offer comparisons of HarvardX registrants and the U.S. population with respect to neighborhood affluence and parental educational attainment</w:t>
      </w:r>
      <w:r w:rsidR="00842646">
        <w:rPr>
          <w:rFonts w:ascii="Times" w:hAnsi="Times"/>
        </w:rPr>
        <w:t xml:space="preserve">. </w:t>
      </w:r>
      <w:r w:rsidR="00266C72" w:rsidRPr="00DB7EE8">
        <w:rPr>
          <w:rFonts w:ascii="Times" w:hAnsi="Times"/>
        </w:rPr>
        <w:t>In doing so, we</w:t>
      </w:r>
      <w:r w:rsidR="002552D0" w:rsidRPr="00DB7EE8">
        <w:rPr>
          <w:rFonts w:ascii="Times" w:hAnsi="Times"/>
        </w:rPr>
        <w:t xml:space="preserve"> demonstrate the value of third-party datasets in</w:t>
      </w:r>
      <w:r w:rsidR="004F4F6C" w:rsidRPr="00DB7EE8">
        <w:rPr>
          <w:rFonts w:ascii="Times" w:hAnsi="Times"/>
        </w:rPr>
        <w:t xml:space="preserve"> </w:t>
      </w:r>
      <w:r w:rsidR="007F0F29" w:rsidRPr="00DB7EE8">
        <w:rPr>
          <w:rFonts w:ascii="Times" w:hAnsi="Times"/>
        </w:rPr>
        <w:t>estimating the extent to which</w:t>
      </w:r>
      <w:r w:rsidR="0069005D" w:rsidRPr="00DB7EE8">
        <w:rPr>
          <w:rFonts w:ascii="Times" w:hAnsi="Times"/>
        </w:rPr>
        <w:t xml:space="preserve"> new forms of online learn</w:t>
      </w:r>
      <w:r w:rsidR="007F0F29" w:rsidRPr="00DB7EE8">
        <w:rPr>
          <w:rFonts w:ascii="Times" w:hAnsi="Times"/>
        </w:rPr>
        <w:t>ing</w:t>
      </w:r>
      <w:r w:rsidR="00381781" w:rsidRPr="00DB7EE8">
        <w:rPr>
          <w:rFonts w:ascii="Times" w:hAnsi="Times"/>
        </w:rPr>
        <w:t xml:space="preserve"> </w:t>
      </w:r>
      <w:r w:rsidR="0069005D" w:rsidRPr="00DB7EE8">
        <w:rPr>
          <w:rFonts w:ascii="Times" w:hAnsi="Times"/>
        </w:rPr>
        <w:t>promote</w:t>
      </w:r>
      <w:r w:rsidR="00842646">
        <w:rPr>
          <w:rFonts w:ascii="Times" w:hAnsi="Times"/>
        </w:rPr>
        <w:t>, or fail to promote,</w:t>
      </w:r>
      <w:r w:rsidR="0069005D" w:rsidRPr="00DB7EE8">
        <w:rPr>
          <w:rFonts w:ascii="Times" w:hAnsi="Times"/>
        </w:rPr>
        <w:t xml:space="preserve"> more equitable access to educational opportunities. </w:t>
      </w:r>
    </w:p>
    <w:p w14:paraId="41D7407E" w14:textId="3FC7B5C6" w:rsidR="003D720E" w:rsidRPr="00DB7EE8" w:rsidRDefault="0054067B" w:rsidP="003D720E">
      <w:pPr>
        <w:pStyle w:val="Heading1"/>
        <w:rPr>
          <w:rFonts w:ascii="Times" w:hAnsi="Times"/>
        </w:rPr>
      </w:pPr>
      <w:r>
        <w:rPr>
          <w:rFonts w:ascii="Times" w:hAnsi="Times"/>
        </w:rPr>
        <w:t xml:space="preserve">2. </w:t>
      </w:r>
      <w:r w:rsidR="003D720E" w:rsidRPr="00DB7EE8">
        <w:rPr>
          <w:rFonts w:ascii="Times" w:hAnsi="Times"/>
        </w:rPr>
        <w:t>DATAset</w:t>
      </w:r>
    </w:p>
    <w:p w14:paraId="01580F89" w14:textId="1878B44C" w:rsidR="00AA761C" w:rsidRPr="00DB7EE8" w:rsidRDefault="00AA761C" w:rsidP="00AA761C">
      <w:pPr>
        <w:rPr>
          <w:rFonts w:ascii="Times" w:hAnsi="Times"/>
        </w:rPr>
      </w:pPr>
      <w:r w:rsidRPr="00DB7EE8">
        <w:rPr>
          <w:rFonts w:ascii="Times" w:hAnsi="Times"/>
        </w:rPr>
        <w:t xml:space="preserve">Our </w:t>
      </w:r>
      <w:r w:rsidR="00226BD1">
        <w:rPr>
          <w:rFonts w:ascii="Times" w:hAnsi="Times"/>
        </w:rPr>
        <w:t xml:space="preserve">primary </w:t>
      </w:r>
      <w:r w:rsidRPr="00DB7EE8">
        <w:rPr>
          <w:rFonts w:ascii="Times" w:hAnsi="Times"/>
        </w:rPr>
        <w:t xml:space="preserve">dataset </w:t>
      </w:r>
      <w:r w:rsidR="00226BD1">
        <w:rPr>
          <w:rFonts w:ascii="Times" w:hAnsi="Times"/>
        </w:rPr>
        <w:t xml:space="preserve">of MOOC enrollees </w:t>
      </w:r>
      <w:r w:rsidRPr="00DB7EE8">
        <w:rPr>
          <w:rFonts w:ascii="Times" w:hAnsi="Times"/>
        </w:rPr>
        <w:t xml:space="preserve">includes registrants from nine HarvardX courses conducted during the 2013-2014 school year on the edX platform. </w:t>
      </w:r>
      <w:r w:rsidR="00583F39" w:rsidRPr="00DB7EE8">
        <w:rPr>
          <w:rFonts w:ascii="Times" w:hAnsi="Times"/>
        </w:rPr>
        <w:t>We include all courses offered between September 2013 and June 20</w:t>
      </w:r>
      <w:r w:rsidR="00226BD1">
        <w:rPr>
          <w:rFonts w:ascii="Times" w:hAnsi="Times"/>
        </w:rPr>
        <w:t>14, hosted on the edX platform</w:t>
      </w:r>
      <w:r w:rsidR="00583F39" w:rsidRPr="00DB7EE8">
        <w:rPr>
          <w:rFonts w:ascii="Times" w:hAnsi="Times"/>
        </w:rPr>
        <w:t xml:space="preserve"> that issued certificates to students who earned a sufficient</w:t>
      </w:r>
      <w:r w:rsidR="00543B8A" w:rsidRPr="00DB7EE8">
        <w:rPr>
          <w:rFonts w:ascii="Times" w:hAnsi="Times"/>
        </w:rPr>
        <w:t>ly high</w:t>
      </w:r>
      <w:r w:rsidR="00583F39" w:rsidRPr="00DB7EE8">
        <w:rPr>
          <w:rFonts w:ascii="Times" w:hAnsi="Times"/>
        </w:rPr>
        <w:t xml:space="preserve"> grade. If a course was in a series of modules, we include only the first module in the series. </w:t>
      </w:r>
      <w:r w:rsidRPr="00DB7EE8">
        <w:rPr>
          <w:rFonts w:ascii="Times" w:hAnsi="Times"/>
        </w:rPr>
        <w:t xml:space="preserve">Including US users, non-US users, and users whose country could not be identified, our dataset contains 238,572 unique </w:t>
      </w:r>
      <w:r w:rsidR="00583F39" w:rsidRPr="00DB7EE8">
        <w:rPr>
          <w:rFonts w:ascii="Times" w:hAnsi="Times"/>
        </w:rPr>
        <w:t>registrants</w:t>
      </w:r>
      <w:r w:rsidRPr="00DB7EE8">
        <w:rPr>
          <w:rFonts w:ascii="Times" w:hAnsi="Times"/>
        </w:rPr>
        <w:t>. We focus on the US population, whom we identify through a combination of self-reported country</w:t>
      </w:r>
      <w:r w:rsidR="002A6DDB">
        <w:rPr>
          <w:rFonts w:ascii="Times" w:hAnsi="Times"/>
        </w:rPr>
        <w:t xml:space="preserve"> and IP geo-location. We drop</w:t>
      </w:r>
      <w:r w:rsidRPr="00DB7EE8">
        <w:rPr>
          <w:rFonts w:ascii="Times" w:hAnsi="Times"/>
        </w:rPr>
        <w:t xml:space="preserve"> </w:t>
      </w:r>
      <w:r w:rsidR="002A6DDB">
        <w:rPr>
          <w:rFonts w:ascii="Times" w:hAnsi="Times"/>
        </w:rPr>
        <w:t>145,858</w:t>
      </w:r>
      <w:r w:rsidR="00860A50" w:rsidRPr="00DB7EE8">
        <w:rPr>
          <w:rFonts w:ascii="Times" w:hAnsi="Times"/>
        </w:rPr>
        <w:t xml:space="preserve"> </w:t>
      </w:r>
      <w:r w:rsidRPr="00DB7EE8">
        <w:rPr>
          <w:rFonts w:ascii="Times" w:hAnsi="Times"/>
        </w:rPr>
        <w:t xml:space="preserve">registrants reporting a country outside the US and registrants reporting no country who were not geo-located to the United States. </w:t>
      </w:r>
      <w:r w:rsidR="00860A50" w:rsidRPr="00DB7EE8">
        <w:rPr>
          <w:rFonts w:ascii="Times" w:hAnsi="Times"/>
        </w:rPr>
        <w:t xml:space="preserve">To avoid issues of sparse data and </w:t>
      </w:r>
      <w:r w:rsidR="00226BD1">
        <w:rPr>
          <w:rFonts w:ascii="Times" w:hAnsi="Times"/>
        </w:rPr>
        <w:t xml:space="preserve">possible misrepresentation of </w:t>
      </w:r>
      <w:r w:rsidR="001607A5" w:rsidRPr="00DB7EE8">
        <w:rPr>
          <w:rFonts w:ascii="Times" w:hAnsi="Times"/>
        </w:rPr>
        <w:t>extremely young or old ages</w:t>
      </w:r>
      <w:r w:rsidRPr="00DB7EE8">
        <w:rPr>
          <w:rFonts w:ascii="Times" w:hAnsi="Times"/>
        </w:rPr>
        <w:t xml:space="preserve">, we drop </w:t>
      </w:r>
      <w:r w:rsidR="002A6DDB">
        <w:rPr>
          <w:rFonts w:ascii="Times" w:hAnsi="Times"/>
        </w:rPr>
        <w:t xml:space="preserve">12,275 </w:t>
      </w:r>
      <w:r w:rsidRPr="00DB7EE8">
        <w:rPr>
          <w:rFonts w:ascii="Times" w:hAnsi="Times"/>
        </w:rPr>
        <w:t>registrants reporting an age younger than 13 or older than 69. Th</w:t>
      </w:r>
      <w:r w:rsidR="00860A50" w:rsidRPr="00DB7EE8">
        <w:rPr>
          <w:rFonts w:ascii="Times" w:hAnsi="Times"/>
        </w:rPr>
        <w:t>is leaves us with</w:t>
      </w:r>
      <w:r w:rsidRPr="00DB7EE8">
        <w:rPr>
          <w:rFonts w:ascii="Times" w:hAnsi="Times"/>
        </w:rPr>
        <w:t xml:space="preserve"> 79,921 unique registrants. </w:t>
      </w:r>
    </w:p>
    <w:p w14:paraId="2A589E70" w14:textId="2FDA50A7" w:rsidR="00AA761C" w:rsidRPr="00DB7EE8" w:rsidRDefault="00226BD1" w:rsidP="00AA761C">
      <w:pPr>
        <w:rPr>
          <w:rFonts w:ascii="Times" w:hAnsi="Times"/>
        </w:rPr>
      </w:pPr>
      <w:r>
        <w:rPr>
          <w:rFonts w:ascii="Times" w:hAnsi="Times"/>
        </w:rPr>
        <w:t xml:space="preserve">In order to </w:t>
      </w:r>
      <w:r w:rsidR="00AA761C" w:rsidRPr="00DB7EE8">
        <w:rPr>
          <w:rFonts w:ascii="Times" w:hAnsi="Times"/>
        </w:rPr>
        <w:t xml:space="preserve">registering for a HarvardX course on the edX platform, users were </w:t>
      </w:r>
      <w:r>
        <w:rPr>
          <w:rFonts w:ascii="Times" w:hAnsi="Times"/>
        </w:rPr>
        <w:t>invited</w:t>
      </w:r>
      <w:r w:rsidR="00AA761C" w:rsidRPr="00DB7EE8">
        <w:rPr>
          <w:rFonts w:ascii="Times" w:hAnsi="Times"/>
        </w:rPr>
        <w:t xml:space="preserve"> to complete a site registration on edX. This site registration includes a voluntary four-question survey asking for student gender, level of education, year of birth, and address. Address is collected as a single open-response text fie</w:t>
      </w:r>
      <w:r w:rsidR="003A096B">
        <w:rPr>
          <w:rFonts w:ascii="Times" w:hAnsi="Times"/>
        </w:rPr>
        <w:t>ld. Of our 79,921 registrants—60,892 or 76</w:t>
      </w:r>
      <w:r w:rsidR="00AA761C" w:rsidRPr="00DB7EE8">
        <w:rPr>
          <w:rFonts w:ascii="Times" w:hAnsi="Times"/>
        </w:rPr>
        <w:t>% completed the entire site registration survey.</w:t>
      </w:r>
      <w:r w:rsidR="001E4287" w:rsidRPr="00DB7EE8">
        <w:rPr>
          <w:rFonts w:ascii="Times" w:hAnsi="Times"/>
          <w:noProof/>
        </w:rPr>
        <w:t xml:space="preserve"> </w:t>
      </w:r>
    </w:p>
    <w:p w14:paraId="24C2F3D9" w14:textId="590CD025" w:rsidR="00AA761C" w:rsidRPr="00DB7EE8" w:rsidRDefault="00AA761C" w:rsidP="00AA761C">
      <w:pPr>
        <w:rPr>
          <w:rFonts w:ascii="Times" w:hAnsi="Times"/>
        </w:rPr>
      </w:pPr>
      <w:r w:rsidRPr="00DB7EE8">
        <w:rPr>
          <w:rFonts w:ascii="Times" w:hAnsi="Times"/>
        </w:rPr>
        <w:t xml:space="preserve">Upon enrolling in a HarvardX course, registrants were then asked to complete a “pre-course survey,” but no mechanism existed to enforce completion (students could register for the course without even starting the survey). Registrants were asked to complete the survey through in-course prompts and emails, but response rates were generally low as a proportion of </w:t>
      </w:r>
      <w:r w:rsidR="00F80898" w:rsidRPr="00DB7EE8">
        <w:rPr>
          <w:rFonts w:ascii="Times" w:hAnsi="Times"/>
        </w:rPr>
        <w:t>all registrants, ranging from 14% to 45</w:t>
      </w:r>
      <w:r w:rsidRPr="00DB7EE8">
        <w:rPr>
          <w:rFonts w:ascii="Times" w:hAnsi="Times"/>
        </w:rPr>
        <w:t>%. This survey included approximately 20 items, including a question asking students to self report their mother’s and father’s hig</w:t>
      </w:r>
      <w:r w:rsidR="00DE4F43" w:rsidRPr="00DB7EE8">
        <w:rPr>
          <w:rFonts w:ascii="Times" w:hAnsi="Times"/>
        </w:rPr>
        <w:t>hest level of education, and</w:t>
      </w:r>
      <w:r w:rsidR="004C7D74">
        <w:rPr>
          <w:rFonts w:ascii="Times" w:hAnsi="Times"/>
        </w:rPr>
        <w:t xml:space="preserve"> response rates to this item varied from 13% to 34%</w:t>
      </w:r>
      <w:r w:rsidR="0054067B">
        <w:rPr>
          <w:rFonts w:ascii="Times" w:hAnsi="Times"/>
        </w:rPr>
        <w:t xml:space="preserve"> across courses</w:t>
      </w:r>
      <w:r w:rsidR="004C7D74">
        <w:rPr>
          <w:rFonts w:ascii="Times" w:hAnsi="Times"/>
        </w:rPr>
        <w:t>.</w:t>
      </w:r>
    </w:p>
    <w:p w14:paraId="2038199F" w14:textId="34DC4775" w:rsidR="00870D6C" w:rsidRPr="00DB7EE8" w:rsidRDefault="00DE4F43" w:rsidP="00AA761C">
      <w:pPr>
        <w:rPr>
          <w:rFonts w:ascii="Times" w:hAnsi="Times"/>
        </w:rPr>
      </w:pPr>
      <w:r w:rsidRPr="00DB7EE8">
        <w:rPr>
          <w:rFonts w:ascii="Times" w:hAnsi="Times"/>
        </w:rPr>
        <w:t>We</w:t>
      </w:r>
      <w:r w:rsidR="00AA761C" w:rsidRPr="00DB7EE8">
        <w:rPr>
          <w:rFonts w:ascii="Times" w:hAnsi="Times"/>
        </w:rPr>
        <w:t xml:space="preserve"> use three additional sources of publicly available data in our analyses. The first source contains data from the American Community Survey (5-year estimates for 2008-2012) organized at the zip code level and available for download from the U.S. Census Bureau website. The U</w:t>
      </w:r>
      <w:r w:rsidR="00502033">
        <w:rPr>
          <w:rFonts w:ascii="Times" w:hAnsi="Times"/>
        </w:rPr>
        <w:t>.</w:t>
      </w:r>
      <w:r w:rsidR="00AA761C" w:rsidRPr="00DB7EE8">
        <w:rPr>
          <w:rFonts w:ascii="Times" w:hAnsi="Times"/>
        </w:rPr>
        <w:t>S</w:t>
      </w:r>
      <w:r w:rsidR="00502033">
        <w:rPr>
          <w:rFonts w:ascii="Times" w:hAnsi="Times"/>
        </w:rPr>
        <w:t>.</w:t>
      </w:r>
      <w:r w:rsidR="00AA761C" w:rsidRPr="00DB7EE8">
        <w:rPr>
          <w:rFonts w:ascii="Times" w:hAnsi="Times"/>
        </w:rPr>
        <w:t xml:space="preserve"> Census Bureau delivers the American Community Survey (ACS) each year to several million American residents, and survey items includ</w:t>
      </w:r>
      <w:r w:rsidR="00371054" w:rsidRPr="00DB7EE8">
        <w:rPr>
          <w:rFonts w:ascii="Times" w:hAnsi="Times"/>
        </w:rPr>
        <w:t>e age, education, and income</w:t>
      </w:r>
      <w:r w:rsidR="00502033">
        <w:rPr>
          <w:rFonts w:ascii="Times" w:hAnsi="Times"/>
        </w:rPr>
        <w:t xml:space="preserve"> </w:t>
      </w:r>
      <w:r w:rsidR="008D0A48">
        <w:rPr>
          <w:rFonts w:ascii="Times" w:hAnsi="Times"/>
        </w:rPr>
        <w:fldChar w:fldCharType="begin"/>
      </w:r>
      <w:r w:rsidR="008D0A48">
        <w:rPr>
          <w:rFonts w:ascii="Times" w:hAnsi="Times"/>
        </w:rPr>
        <w:instrText>ADDIN RW.CITE{{890 U.S. Census Bureau 2006}}</w:instrText>
      </w:r>
      <w:r w:rsidR="008D0A48">
        <w:rPr>
          <w:rFonts w:ascii="Times" w:hAnsi="Times"/>
        </w:rPr>
        <w:fldChar w:fldCharType="separate"/>
      </w:r>
      <w:r w:rsidR="00EB4696" w:rsidRPr="00EB4696">
        <w:rPr>
          <w:rFonts w:ascii="Times" w:hAnsi="Times"/>
        </w:rPr>
        <w:t>[16]</w:t>
      </w:r>
      <w:r w:rsidR="008D0A48">
        <w:rPr>
          <w:rFonts w:ascii="Times" w:hAnsi="Times"/>
        </w:rPr>
        <w:fldChar w:fldCharType="end"/>
      </w:r>
      <w:r w:rsidR="00AA761C" w:rsidRPr="00DB7EE8">
        <w:rPr>
          <w:rFonts w:ascii="Times" w:hAnsi="Times"/>
        </w:rPr>
        <w:t>. This dataset offers the simplest way for enriching our dataset with neighborhood-level demographic data. The second source also relies on the ACS 5-year estimates, but this dataset is organized at the person level</w:t>
      </w:r>
      <w:r w:rsidR="00ED49EF" w:rsidRPr="00DB7EE8">
        <w:rPr>
          <w:rFonts w:ascii="Times" w:hAnsi="Times"/>
        </w:rPr>
        <w:t xml:space="preserve"> </w:t>
      </w:r>
      <w:r w:rsidR="00AA761C" w:rsidRPr="00DB7EE8">
        <w:rPr>
          <w:rFonts w:ascii="Times" w:hAnsi="Times"/>
        </w:rPr>
        <w:t>and available for download from</w:t>
      </w:r>
      <w:r w:rsidR="00ED49EF" w:rsidRPr="00DB7EE8">
        <w:rPr>
          <w:rFonts w:ascii="Times" w:hAnsi="Times"/>
        </w:rPr>
        <w:t xml:space="preserve"> the Minnesota Population Center</w:t>
      </w:r>
      <w:r w:rsidR="00371054" w:rsidRPr="00DB7EE8">
        <w:rPr>
          <w:rFonts w:ascii="Times" w:hAnsi="Times"/>
        </w:rPr>
        <w:t>’s IPUMS website</w:t>
      </w:r>
      <w:r w:rsidR="004940BF">
        <w:rPr>
          <w:rFonts w:ascii="Times" w:hAnsi="Times"/>
        </w:rPr>
        <w:t xml:space="preserve"> </w:t>
      </w:r>
      <w:r w:rsidR="006D4109">
        <w:rPr>
          <w:rFonts w:ascii="Times" w:hAnsi="Times"/>
        </w:rPr>
        <w:fldChar w:fldCharType="begin"/>
      </w:r>
      <w:r w:rsidR="006D4109">
        <w:rPr>
          <w:rFonts w:ascii="Times" w:hAnsi="Times"/>
        </w:rPr>
        <w:instrText>ADDIN RW.CITE{{901 Ruggles, Steven 2010}}</w:instrText>
      </w:r>
      <w:r w:rsidR="006D4109">
        <w:rPr>
          <w:rFonts w:ascii="Times" w:hAnsi="Times"/>
        </w:rPr>
        <w:fldChar w:fldCharType="separate"/>
      </w:r>
      <w:r w:rsidR="004940BF" w:rsidRPr="004940BF">
        <w:rPr>
          <w:rFonts w:ascii="Times" w:hAnsi="Times"/>
        </w:rPr>
        <w:t>[12]</w:t>
      </w:r>
      <w:r w:rsidR="006D4109">
        <w:rPr>
          <w:rFonts w:ascii="Times" w:hAnsi="Times"/>
        </w:rPr>
        <w:fldChar w:fldCharType="end"/>
      </w:r>
      <w:r w:rsidR="0090768B" w:rsidRPr="00DB7EE8">
        <w:rPr>
          <w:rFonts w:ascii="Times" w:hAnsi="Times"/>
        </w:rPr>
        <w:t>.</w:t>
      </w:r>
      <w:r w:rsidR="00371054" w:rsidRPr="00DB7EE8">
        <w:rPr>
          <w:rFonts w:ascii="Times" w:hAnsi="Times"/>
        </w:rPr>
        <w:t xml:space="preserve"> W</w:t>
      </w:r>
      <w:r w:rsidR="00AA761C" w:rsidRPr="00DB7EE8">
        <w:rPr>
          <w:rFonts w:ascii="Times" w:hAnsi="Times"/>
        </w:rPr>
        <w:t>e use this dataset to compare the U.S. and HarvardX distributions of parent education for adolescents. Lastly, we use a 2013 U.S. demographic dataset available from Esri</w:t>
      </w:r>
      <w:r w:rsidR="00ED49EF" w:rsidRPr="00DB7EE8">
        <w:rPr>
          <w:rFonts w:ascii="Times" w:hAnsi="Times"/>
        </w:rPr>
        <w:t>, a for-profit provider of geographic information systems software and data</w:t>
      </w:r>
      <w:r w:rsidR="00CA6107" w:rsidRPr="00DB7EE8">
        <w:rPr>
          <w:rFonts w:ascii="Times" w:hAnsi="Times"/>
        </w:rPr>
        <w:t>. Esri’s</w:t>
      </w:r>
      <w:r w:rsidR="00AA761C" w:rsidRPr="00DB7EE8">
        <w:rPr>
          <w:rFonts w:ascii="Times" w:hAnsi="Times"/>
        </w:rPr>
        <w:t xml:space="preserve"> </w:t>
      </w:r>
      <w:r w:rsidR="00CA6107" w:rsidRPr="00DB7EE8">
        <w:rPr>
          <w:rFonts w:ascii="Times" w:hAnsi="Times"/>
        </w:rPr>
        <w:t>2013</w:t>
      </w:r>
      <w:r w:rsidR="00AA761C" w:rsidRPr="00DB7EE8">
        <w:rPr>
          <w:rFonts w:ascii="Times" w:hAnsi="Times"/>
        </w:rPr>
        <w:t xml:space="preserve"> </w:t>
      </w:r>
      <w:r w:rsidR="00CA6107" w:rsidRPr="00DB7EE8">
        <w:rPr>
          <w:rFonts w:ascii="Times" w:hAnsi="Times"/>
        </w:rPr>
        <w:t xml:space="preserve">demographic </w:t>
      </w:r>
      <w:r w:rsidR="00AA761C" w:rsidRPr="00DB7EE8">
        <w:rPr>
          <w:rFonts w:ascii="Times" w:hAnsi="Times"/>
        </w:rPr>
        <w:t>dataset</w:t>
      </w:r>
      <w:r w:rsidR="006D4109">
        <w:rPr>
          <w:rFonts w:ascii="Times" w:hAnsi="Times"/>
        </w:rPr>
        <w:t xml:space="preserve"> </w:t>
      </w:r>
      <w:r w:rsidR="006D4109">
        <w:rPr>
          <w:rFonts w:ascii="Times" w:hAnsi="Times"/>
        </w:rPr>
        <w:fldChar w:fldCharType="begin"/>
      </w:r>
      <w:r w:rsidR="006D4109">
        <w:rPr>
          <w:rFonts w:ascii="Times" w:hAnsi="Times"/>
        </w:rPr>
        <w:instrText>ADDIN RW.CITE{{891 Esri 2014}}</w:instrText>
      </w:r>
      <w:r w:rsidR="006D4109">
        <w:rPr>
          <w:rFonts w:ascii="Times" w:hAnsi="Times"/>
        </w:rPr>
        <w:fldChar w:fldCharType="separate"/>
      </w:r>
      <w:r w:rsidR="004940BF" w:rsidRPr="004940BF">
        <w:rPr>
          <w:rFonts w:ascii="Times" w:hAnsi="Times"/>
        </w:rPr>
        <w:t>[6]</w:t>
      </w:r>
      <w:r w:rsidR="006D4109">
        <w:rPr>
          <w:rFonts w:ascii="Times" w:hAnsi="Times"/>
        </w:rPr>
        <w:fldChar w:fldCharType="end"/>
      </w:r>
      <w:r w:rsidR="00527E70" w:rsidRPr="00DB7EE8">
        <w:rPr>
          <w:rFonts w:ascii="Times" w:hAnsi="Times"/>
        </w:rPr>
        <w:t xml:space="preserve"> </w:t>
      </w:r>
      <w:r w:rsidR="000B19DC" w:rsidRPr="00DB7EE8">
        <w:rPr>
          <w:rFonts w:ascii="Times" w:hAnsi="Times"/>
        </w:rPr>
        <w:t>provides</w:t>
      </w:r>
      <w:r w:rsidR="00527E70" w:rsidRPr="00DB7EE8">
        <w:rPr>
          <w:rFonts w:ascii="Times" w:hAnsi="Times"/>
        </w:rPr>
        <w:t xml:space="preserve"> estimate</w:t>
      </w:r>
      <w:r w:rsidR="000B19DC" w:rsidRPr="00DB7EE8">
        <w:rPr>
          <w:rFonts w:ascii="Times" w:hAnsi="Times"/>
        </w:rPr>
        <w:t xml:space="preserve">s for median household income and </w:t>
      </w:r>
      <w:r w:rsidR="00AA761C" w:rsidRPr="00DB7EE8">
        <w:rPr>
          <w:rFonts w:ascii="Times" w:hAnsi="Times"/>
        </w:rPr>
        <w:t>age distributions wit</w:t>
      </w:r>
      <w:r w:rsidR="00527E70" w:rsidRPr="00DB7EE8">
        <w:rPr>
          <w:rFonts w:ascii="Times" w:hAnsi="Times"/>
        </w:rPr>
        <w:t xml:space="preserve">hin each census block group, and </w:t>
      </w:r>
      <w:r w:rsidR="000B19DC" w:rsidRPr="00DB7EE8">
        <w:rPr>
          <w:rFonts w:ascii="Times" w:hAnsi="Times"/>
        </w:rPr>
        <w:t>we used the ArcGIS software packag</w:t>
      </w:r>
      <w:r w:rsidR="00CA7602">
        <w:rPr>
          <w:rFonts w:ascii="Times" w:hAnsi="Times"/>
        </w:rPr>
        <w:t xml:space="preserve">e to match registrants </w:t>
      </w:r>
      <w:r w:rsidR="000B19DC" w:rsidRPr="00DB7EE8">
        <w:rPr>
          <w:rFonts w:ascii="Times" w:hAnsi="Times"/>
        </w:rPr>
        <w:t xml:space="preserve">to </w:t>
      </w:r>
      <w:r w:rsidR="00527E70" w:rsidRPr="00DB7EE8">
        <w:rPr>
          <w:rFonts w:ascii="Times" w:hAnsi="Times"/>
        </w:rPr>
        <w:br/>
      </w:r>
      <w:r w:rsidR="000B19DC" w:rsidRPr="00DB7EE8">
        <w:rPr>
          <w:rFonts w:ascii="Times" w:hAnsi="Times"/>
        </w:rPr>
        <w:t>census block group-level variables.</w:t>
      </w:r>
    </w:p>
    <w:p w14:paraId="4B82527D" w14:textId="6B953562" w:rsidR="003C47A1" w:rsidRPr="00DB7EE8" w:rsidRDefault="0054067B" w:rsidP="00FE794C">
      <w:pPr>
        <w:pStyle w:val="Heading1"/>
        <w:rPr>
          <w:rFonts w:ascii="Times" w:hAnsi="Times"/>
        </w:rPr>
      </w:pPr>
      <w:r>
        <w:rPr>
          <w:rFonts w:ascii="Times" w:hAnsi="Times"/>
        </w:rPr>
        <w:t xml:space="preserve">3. </w:t>
      </w:r>
      <w:r w:rsidR="00870D6C" w:rsidRPr="00DB7EE8">
        <w:rPr>
          <w:rFonts w:ascii="Times" w:hAnsi="Times"/>
        </w:rPr>
        <w:t>DATA ANALYTIC STRATEGY</w:t>
      </w:r>
    </w:p>
    <w:p w14:paraId="3C5EAE11" w14:textId="342D35F0" w:rsidR="004D3F58" w:rsidRPr="00DB7EE8" w:rsidRDefault="00C373E3" w:rsidP="00AA761C">
      <w:pPr>
        <w:rPr>
          <w:rFonts w:ascii="Times" w:hAnsi="Times"/>
        </w:rPr>
      </w:pPr>
      <w:r>
        <w:rPr>
          <w:rFonts w:ascii="Times" w:hAnsi="Times"/>
        </w:rPr>
        <w:t>Our analysis of the relationship</w:t>
      </w:r>
      <w:r w:rsidR="00CA7602">
        <w:rPr>
          <w:rFonts w:ascii="Times" w:hAnsi="Times"/>
        </w:rPr>
        <w:t xml:space="preserve"> between </w:t>
      </w:r>
      <w:r w:rsidR="004D3F58" w:rsidRPr="00DB7EE8">
        <w:rPr>
          <w:rFonts w:ascii="Times" w:hAnsi="Times"/>
        </w:rPr>
        <w:t>SES and</w:t>
      </w:r>
      <w:r>
        <w:rPr>
          <w:rFonts w:ascii="Times" w:hAnsi="Times"/>
        </w:rPr>
        <w:t xml:space="preserve"> MOOC enrollment </w:t>
      </w:r>
      <w:r w:rsidR="005310FC" w:rsidRPr="00DB7EE8">
        <w:rPr>
          <w:rFonts w:ascii="Times" w:hAnsi="Times"/>
        </w:rPr>
        <w:t xml:space="preserve">proceeds in </w:t>
      </w:r>
      <w:r w:rsidR="00AD58A4" w:rsidRPr="00DB7EE8">
        <w:rPr>
          <w:rFonts w:ascii="Times" w:hAnsi="Times"/>
        </w:rPr>
        <w:t>three</w:t>
      </w:r>
      <w:r w:rsidR="005310FC" w:rsidRPr="00DB7EE8">
        <w:rPr>
          <w:rFonts w:ascii="Times" w:hAnsi="Times"/>
        </w:rPr>
        <w:t xml:space="preserve"> parts. </w:t>
      </w:r>
      <w:r w:rsidR="004D3F58" w:rsidRPr="00DB7EE8">
        <w:rPr>
          <w:rFonts w:ascii="Times" w:hAnsi="Times"/>
        </w:rPr>
        <w:t xml:space="preserve"> </w:t>
      </w:r>
      <w:r w:rsidR="005310FC" w:rsidRPr="00DB7EE8">
        <w:rPr>
          <w:rFonts w:ascii="Times" w:hAnsi="Times"/>
        </w:rPr>
        <w:t>First, w</w:t>
      </w:r>
      <w:r w:rsidR="00A96F21">
        <w:rPr>
          <w:rFonts w:ascii="Times" w:hAnsi="Times"/>
        </w:rPr>
        <w:t>e demonstrate two way</w:t>
      </w:r>
      <w:r w:rsidR="004D3F58" w:rsidRPr="00DB7EE8">
        <w:rPr>
          <w:rFonts w:ascii="Times" w:hAnsi="Times"/>
        </w:rPr>
        <w:t>s of obtaining measures of median neighborhood income</w:t>
      </w:r>
      <w:r w:rsidR="003C47A1" w:rsidRPr="00DB7EE8">
        <w:rPr>
          <w:rFonts w:ascii="Times" w:hAnsi="Times"/>
        </w:rPr>
        <w:t xml:space="preserve"> for HarvardX students</w:t>
      </w:r>
      <w:r w:rsidR="004D3F58" w:rsidRPr="00DB7EE8">
        <w:rPr>
          <w:rFonts w:ascii="Times" w:hAnsi="Times"/>
        </w:rPr>
        <w:t xml:space="preserve">, </w:t>
      </w:r>
      <w:r w:rsidR="00240CF2" w:rsidRPr="00DB7EE8">
        <w:rPr>
          <w:rFonts w:ascii="Times" w:hAnsi="Times"/>
        </w:rPr>
        <w:t xml:space="preserve">using </w:t>
      </w:r>
      <w:r w:rsidR="005310FC" w:rsidRPr="00DB7EE8">
        <w:rPr>
          <w:rFonts w:ascii="Times" w:hAnsi="Times"/>
        </w:rPr>
        <w:t>only</w:t>
      </w:r>
      <w:r w:rsidR="00240CF2" w:rsidRPr="00DB7EE8">
        <w:rPr>
          <w:rFonts w:ascii="Times" w:hAnsi="Times"/>
        </w:rPr>
        <w:t xml:space="preserve"> zip code and then using a full address. </w:t>
      </w:r>
      <w:r w:rsidR="005310FC" w:rsidRPr="00DB7EE8">
        <w:rPr>
          <w:rFonts w:ascii="Times" w:hAnsi="Times"/>
        </w:rPr>
        <w:t>As an exploratory step, we compared the distributions</w:t>
      </w:r>
      <w:r w:rsidR="00464A90" w:rsidRPr="00DB7EE8">
        <w:rPr>
          <w:rFonts w:ascii="Times" w:hAnsi="Times"/>
        </w:rPr>
        <w:t xml:space="preserve"> of </w:t>
      </w:r>
      <w:r w:rsidR="00BB2BE9" w:rsidRPr="00DB7EE8">
        <w:rPr>
          <w:rFonts w:ascii="Times" w:hAnsi="Times"/>
        </w:rPr>
        <w:t xml:space="preserve">zip code </w:t>
      </w:r>
      <w:r w:rsidR="00464A90" w:rsidRPr="00DB7EE8">
        <w:rPr>
          <w:rFonts w:ascii="Times" w:hAnsi="Times"/>
        </w:rPr>
        <w:t xml:space="preserve">median neighborhood </w:t>
      </w:r>
      <w:r w:rsidR="00BB2BE9" w:rsidRPr="00DB7EE8">
        <w:rPr>
          <w:rFonts w:ascii="Times" w:hAnsi="Times"/>
        </w:rPr>
        <w:t>for HarvardX registrants and the U.S</w:t>
      </w:r>
      <w:r w:rsidR="00464A90" w:rsidRPr="00DB7EE8">
        <w:rPr>
          <w:rFonts w:ascii="Times" w:hAnsi="Times"/>
        </w:rPr>
        <w:t>. In subsequent analyses, we condition our find</w:t>
      </w:r>
      <w:r w:rsidR="00BB2BE9" w:rsidRPr="00DB7EE8">
        <w:rPr>
          <w:rFonts w:ascii="Times" w:hAnsi="Times"/>
        </w:rPr>
        <w:t xml:space="preserve">ings on age, </w:t>
      </w:r>
      <w:r w:rsidR="008669DC" w:rsidRPr="00DB7EE8">
        <w:rPr>
          <w:rFonts w:ascii="Times" w:hAnsi="Times"/>
        </w:rPr>
        <w:t xml:space="preserve">since both neighborhood income (as we will show) </w:t>
      </w:r>
      <w:r w:rsidR="00464A90" w:rsidRPr="00DB7EE8">
        <w:rPr>
          <w:rFonts w:ascii="Times" w:hAnsi="Times"/>
        </w:rPr>
        <w:t>and education</w:t>
      </w:r>
      <w:r w:rsidR="008669DC" w:rsidRPr="00DB7EE8">
        <w:rPr>
          <w:rFonts w:ascii="Times" w:hAnsi="Times"/>
        </w:rPr>
        <w:t xml:space="preserve">al attainment </w:t>
      </w:r>
      <w:r w:rsidR="00DA737D" w:rsidRPr="00DB7EE8">
        <w:rPr>
          <w:rFonts w:ascii="Times" w:hAnsi="Times"/>
        </w:rPr>
        <w:fldChar w:fldCharType="begin"/>
      </w:r>
      <w:r w:rsidR="00DA737D" w:rsidRPr="00DB7EE8">
        <w:rPr>
          <w:rFonts w:ascii="Times" w:hAnsi="Times"/>
        </w:rPr>
        <w:instrText>ADDIN RW.CITE{{886 Goldin,Claudia Dale 2008}}</w:instrText>
      </w:r>
      <w:r w:rsidR="00DA737D" w:rsidRPr="00DB7EE8">
        <w:rPr>
          <w:rFonts w:ascii="Times" w:hAnsi="Times"/>
        </w:rPr>
        <w:fldChar w:fldCharType="separate"/>
      </w:r>
      <w:r w:rsidR="004940BF" w:rsidRPr="004940BF">
        <w:rPr>
          <w:rFonts w:ascii="Times" w:hAnsi="Times"/>
        </w:rPr>
        <w:t>[8]</w:t>
      </w:r>
      <w:r w:rsidR="00DA737D" w:rsidRPr="00DB7EE8">
        <w:rPr>
          <w:rFonts w:ascii="Times" w:hAnsi="Times"/>
        </w:rPr>
        <w:fldChar w:fldCharType="end"/>
      </w:r>
      <w:r w:rsidR="00DA737D" w:rsidRPr="00DB7EE8">
        <w:rPr>
          <w:rFonts w:ascii="Times" w:hAnsi="Times"/>
        </w:rPr>
        <w:t xml:space="preserve"> </w:t>
      </w:r>
      <w:r w:rsidR="008669DC" w:rsidRPr="00DB7EE8">
        <w:rPr>
          <w:rFonts w:ascii="Times" w:hAnsi="Times"/>
        </w:rPr>
        <w:t>are associated with age, a</w:t>
      </w:r>
      <w:r w:rsidR="001E4287" w:rsidRPr="00DB7EE8">
        <w:rPr>
          <w:rFonts w:ascii="Times" w:hAnsi="Times"/>
        </w:rPr>
        <w:t>nd as shown in Figure 1, the distribu</w:t>
      </w:r>
      <w:r w:rsidR="008669DC" w:rsidRPr="00DB7EE8">
        <w:rPr>
          <w:rFonts w:ascii="Times" w:hAnsi="Times"/>
        </w:rPr>
        <w:t>tion of ages among U.S. HarvardX</w:t>
      </w:r>
      <w:r w:rsidR="001E4287" w:rsidRPr="00DB7EE8">
        <w:rPr>
          <w:rFonts w:ascii="Times" w:hAnsi="Times"/>
        </w:rPr>
        <w:t xml:space="preserve"> registrants differs from the U.S. population</w:t>
      </w:r>
      <w:r w:rsidR="00464A90" w:rsidRPr="00DB7EE8">
        <w:rPr>
          <w:rFonts w:ascii="Times" w:hAnsi="Times"/>
        </w:rPr>
        <w:t xml:space="preserve">. </w:t>
      </w:r>
    </w:p>
    <w:p w14:paraId="4AC71156" w14:textId="03DEF3BC" w:rsidR="00240CF2" w:rsidRPr="00DB7EE8" w:rsidRDefault="00C373E3" w:rsidP="00AA761C">
      <w:pPr>
        <w:rPr>
          <w:rFonts w:ascii="Times" w:hAnsi="Times"/>
        </w:rPr>
      </w:pPr>
      <w:r>
        <w:rPr>
          <w:noProof/>
        </w:rPr>
        <mc:AlternateContent>
          <mc:Choice Requires="wps">
            <w:drawing>
              <wp:anchor distT="0" distB="0" distL="114300" distR="114300" simplePos="0" relativeHeight="251664384" behindDoc="0" locked="0" layoutInCell="1" allowOverlap="1" wp14:anchorId="7D714AF9" wp14:editId="52B19C29">
                <wp:simplePos x="0" y="0"/>
                <wp:positionH relativeFrom="column">
                  <wp:posOffset>3314700</wp:posOffset>
                </wp:positionH>
                <wp:positionV relativeFrom="paragraph">
                  <wp:posOffset>2171700</wp:posOffset>
                </wp:positionV>
                <wp:extent cx="3086100" cy="571500"/>
                <wp:effectExtent l="0" t="0" r="0" b="0"/>
                <wp:wrapTight wrapText="bothSides">
                  <wp:wrapPolygon edited="0">
                    <wp:start x="178" y="960"/>
                    <wp:lineTo x="178" y="19200"/>
                    <wp:lineTo x="21156" y="19200"/>
                    <wp:lineTo x="21156" y="960"/>
                    <wp:lineTo x="178" y="96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81A8F" w14:textId="4CB6F2EC" w:rsidR="00D50343" w:rsidRPr="00520586" w:rsidRDefault="00D50343" w:rsidP="005D033D">
                            <w:pPr>
                              <w:jc w:val="center"/>
                              <w:rPr>
                                <w:b/>
                                <w:sz w:val="18"/>
                                <w:szCs w:val="18"/>
                              </w:rPr>
                            </w:pPr>
                            <w:r>
                              <w:rPr>
                                <w:b/>
                                <w:sz w:val="18"/>
                                <w:szCs w:val="18"/>
                              </w:rPr>
                              <w:t>Figure 2</w:t>
                            </w:r>
                            <w:r w:rsidRPr="00520586">
                              <w:rPr>
                                <w:b/>
                                <w:sz w:val="18"/>
                                <w:szCs w:val="18"/>
                              </w:rPr>
                              <w:t xml:space="preserve">: </w:t>
                            </w:r>
                            <w:r>
                              <w:rPr>
                                <w:b/>
                                <w:sz w:val="18"/>
                                <w:szCs w:val="18"/>
                              </w:rPr>
                              <w:t>Weighted average distributions of median household income by zip code for US non-institutionalized residents and 2013-2014 HarvardX registrants.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1pt;margin-top:171pt;width:24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" filled="f" stroked="f">
                <v:textbox inset=",7.2pt,,7.2pt">
                  <w:txbxContent>
                    <w:p w14:paraId="01481A8F" w14:textId="4CB6F2EC" w:rsidR="00D50343" w:rsidRPr="00520586" w:rsidRDefault="00D50343" w:rsidP="005D033D">
                      <w:pPr>
                        <w:jc w:val="center"/>
                        <w:rPr>
                          <w:b/>
                          <w:sz w:val="18"/>
                          <w:szCs w:val="18"/>
                        </w:rPr>
                      </w:pPr>
                      <w:r>
                        <w:rPr>
                          <w:b/>
                          <w:sz w:val="18"/>
                          <w:szCs w:val="18"/>
                        </w:rPr>
                        <w:t>Figure 2</w:t>
                      </w:r>
                      <w:r w:rsidRPr="00520586">
                        <w:rPr>
                          <w:b/>
                          <w:sz w:val="18"/>
                          <w:szCs w:val="18"/>
                        </w:rPr>
                        <w:t xml:space="preserve">: </w:t>
                      </w:r>
                      <w:r>
                        <w:rPr>
                          <w:b/>
                          <w:sz w:val="18"/>
                          <w:szCs w:val="18"/>
                        </w:rPr>
                        <w:t>Weighted average distributions of median household income by zip code for US non-institutionalized residents and 2013-2014 HarvardX registrants.</w:t>
                      </w:r>
                    </w:p>
                  </w:txbxContent>
                </v:textbox>
                <w10:wrap type="tight"/>
              </v:shape>
            </w:pict>
          </mc:Fallback>
        </mc:AlternateContent>
      </w:r>
      <w:r w:rsidR="0040080C">
        <w:rPr>
          <w:rFonts w:ascii="Times" w:hAnsi="Times"/>
          <w:noProof/>
        </w:rPr>
        <w:drawing>
          <wp:anchor distT="0" distB="0" distL="114300" distR="114300" simplePos="0" relativeHeight="251691008" behindDoc="0" locked="0" layoutInCell="1" allowOverlap="1" wp14:anchorId="3E1AE029" wp14:editId="4376B684">
            <wp:simplePos x="0" y="0"/>
            <wp:positionH relativeFrom="column">
              <wp:posOffset>1905</wp:posOffset>
            </wp:positionH>
            <wp:positionV relativeFrom="paragraph">
              <wp:posOffset>3810</wp:posOffset>
            </wp:positionV>
            <wp:extent cx="3060065" cy="2226945"/>
            <wp:effectExtent l="0" t="0" r="0" b="8255"/>
            <wp:wrapSquare wrapText="bothSides"/>
            <wp:docPr id="2" name="Picture 2" descr="Macintosh HD:Users:johnhansen:Dropbox:HarvardX Summer Team 2014:John and Justin:tables and figures:gray:figure1_age_enroll_esri_gra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hansen:Dropbox:HarvardX Summer Team 2014:John and Justin:tables and figures:gray:figure1_age_enroll_esri_gray.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065"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579">
        <w:rPr>
          <w:rFonts w:ascii="Times" w:hAnsi="Times"/>
          <w:noProof/>
        </w:rPr>
        <w:drawing>
          <wp:anchor distT="0" distB="0" distL="114300" distR="114300" simplePos="0" relativeHeight="251687936" behindDoc="0" locked="0" layoutInCell="1" allowOverlap="1" wp14:anchorId="623479E1" wp14:editId="1B391C83">
            <wp:simplePos x="0" y="0"/>
            <wp:positionH relativeFrom="column">
              <wp:posOffset>3200400</wp:posOffset>
            </wp:positionH>
            <wp:positionV relativeFrom="paragraph">
              <wp:posOffset>0</wp:posOffset>
            </wp:positionV>
            <wp:extent cx="3060065" cy="2226945"/>
            <wp:effectExtent l="0" t="0" r="0" b="8255"/>
            <wp:wrapSquare wrapText="bothSides"/>
            <wp:docPr id="23" name="Picture 23" descr="Macintosh HD:Users:johnhansen:Dropbox:HarvardX Summer Team 2014:John and Justin:tables and figures:gray:hx_us_zip_income_gra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hnhansen:Dropbox:HarvardX Summer Team 2014:John and Justin:tables and figures:gray:hx_us_zip_income_gray.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65"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94A">
        <w:rPr>
          <w:noProof/>
        </w:rPr>
        <mc:AlternateContent>
          <mc:Choice Requires="wps">
            <w:drawing>
              <wp:anchor distT="0" distB="0" distL="114300" distR="114300" simplePos="0" relativeHeight="251662336" behindDoc="0" locked="0" layoutInCell="1" allowOverlap="1" wp14:anchorId="2F54DF9A" wp14:editId="6EF93F1F">
                <wp:simplePos x="0" y="0"/>
                <wp:positionH relativeFrom="column">
                  <wp:posOffset>0</wp:posOffset>
                </wp:positionH>
                <wp:positionV relativeFrom="paragraph">
                  <wp:posOffset>2171700</wp:posOffset>
                </wp:positionV>
                <wp:extent cx="3086100" cy="457200"/>
                <wp:effectExtent l="0" t="0" r="0" b="0"/>
                <wp:wrapTight wrapText="bothSides">
                  <wp:wrapPolygon edited="0">
                    <wp:start x="178" y="1200"/>
                    <wp:lineTo x="178" y="19200"/>
                    <wp:lineTo x="21156" y="19200"/>
                    <wp:lineTo x="21156" y="1200"/>
                    <wp:lineTo x="178" y="120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D82C" w14:textId="00ED75BF" w:rsidR="00D50343" w:rsidRPr="00520586" w:rsidRDefault="00D50343" w:rsidP="0092694A">
                            <w:pPr>
                              <w:jc w:val="center"/>
                              <w:rPr>
                                <w:b/>
                                <w:sz w:val="18"/>
                                <w:szCs w:val="18"/>
                              </w:rPr>
                            </w:pPr>
                            <w:r w:rsidRPr="00520586">
                              <w:rPr>
                                <w:b/>
                                <w:sz w:val="18"/>
                                <w:szCs w:val="18"/>
                              </w:rPr>
                              <w:t xml:space="preserve">Figure 1: </w:t>
                            </w:r>
                            <w:r>
                              <w:rPr>
                                <w:b/>
                                <w:sz w:val="18"/>
                                <w:szCs w:val="18"/>
                              </w:rPr>
                              <w:t>Distribution of US non-institutionalized residents and 2013-2014 HarvardX registrants by age.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171pt;width:24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" filled="f" stroked="f">
                <v:textbox inset=",7.2pt,,7.2pt">
                  <w:txbxContent>
                    <w:p w14:paraId="78DDD82C" w14:textId="00ED75BF" w:rsidR="00D50343" w:rsidRPr="00520586" w:rsidRDefault="00D50343" w:rsidP="0092694A">
                      <w:pPr>
                        <w:jc w:val="center"/>
                        <w:rPr>
                          <w:b/>
                          <w:sz w:val="18"/>
                          <w:szCs w:val="18"/>
                        </w:rPr>
                      </w:pPr>
                      <w:r w:rsidRPr="00520586">
                        <w:rPr>
                          <w:b/>
                          <w:sz w:val="18"/>
                          <w:szCs w:val="18"/>
                        </w:rPr>
                        <w:t xml:space="preserve">Figure 1: </w:t>
                      </w:r>
                      <w:r>
                        <w:rPr>
                          <w:b/>
                          <w:sz w:val="18"/>
                          <w:szCs w:val="18"/>
                        </w:rPr>
                        <w:t>Distribution of US non-institutionalized residents and 2013-2014 HarvardX registrants by age.</w:t>
                      </w:r>
                    </w:p>
                  </w:txbxContent>
                </v:textbox>
                <w10:wrap type="tight"/>
              </v:shape>
            </w:pict>
          </mc:Fallback>
        </mc:AlternateContent>
      </w:r>
      <w:r w:rsidR="005310FC" w:rsidRPr="00DB7EE8">
        <w:rPr>
          <w:rFonts w:ascii="Times" w:hAnsi="Times"/>
        </w:rPr>
        <w:t xml:space="preserve">Second, </w:t>
      </w:r>
      <w:r>
        <w:rPr>
          <w:rFonts w:ascii="Times" w:hAnsi="Times"/>
        </w:rPr>
        <w:t xml:space="preserve">we obtain measures of parental </w:t>
      </w:r>
      <w:r w:rsidR="00240CF2" w:rsidRPr="00DB7EE8">
        <w:rPr>
          <w:rFonts w:ascii="Times" w:hAnsi="Times"/>
        </w:rPr>
        <w:t xml:space="preserve">education from pre-course surveys, and </w:t>
      </w:r>
      <w:r w:rsidR="003C47A1" w:rsidRPr="00DB7EE8">
        <w:rPr>
          <w:rFonts w:ascii="Times" w:hAnsi="Times"/>
        </w:rPr>
        <w:t xml:space="preserve">use our more complete address data to test for response bias. </w:t>
      </w:r>
      <w:r w:rsidR="005310FC" w:rsidRPr="00DB7EE8">
        <w:rPr>
          <w:rFonts w:ascii="Times" w:hAnsi="Times"/>
        </w:rPr>
        <w:t xml:space="preserve">Again, as </w:t>
      </w:r>
      <w:r w:rsidR="004B488B" w:rsidRPr="00DB7EE8">
        <w:rPr>
          <w:rFonts w:ascii="Times" w:hAnsi="Times"/>
        </w:rPr>
        <w:t>an exploratory step, we compare</w:t>
      </w:r>
      <w:r w:rsidR="005310FC" w:rsidRPr="00DB7EE8">
        <w:rPr>
          <w:rFonts w:ascii="Times" w:hAnsi="Times"/>
        </w:rPr>
        <w:t xml:space="preserve"> the distributions of parental education of HarvardX registrants and U.S. persons conditional on age. </w:t>
      </w:r>
    </w:p>
    <w:p w14:paraId="63688C80" w14:textId="6218BD88" w:rsidR="00FE794C" w:rsidRPr="00DB7EE8" w:rsidRDefault="004B488B" w:rsidP="00AD58A4">
      <w:pPr>
        <w:rPr>
          <w:rFonts w:ascii="Times" w:hAnsi="Times"/>
        </w:rPr>
      </w:pPr>
      <w:r w:rsidRPr="00DB7EE8">
        <w:rPr>
          <w:rFonts w:ascii="Times" w:hAnsi="Times"/>
        </w:rPr>
        <w:t>Third</w:t>
      </w:r>
      <w:r w:rsidR="00305E46" w:rsidRPr="00DB7EE8">
        <w:rPr>
          <w:rFonts w:ascii="Times" w:hAnsi="Times"/>
        </w:rPr>
        <w:t>, w</w:t>
      </w:r>
      <w:r w:rsidRPr="00DB7EE8">
        <w:rPr>
          <w:rFonts w:ascii="Times" w:hAnsi="Times"/>
        </w:rPr>
        <w:t xml:space="preserve">e </w:t>
      </w:r>
      <w:r w:rsidR="005310FC" w:rsidRPr="00DB7EE8">
        <w:rPr>
          <w:rFonts w:ascii="Times" w:hAnsi="Times"/>
        </w:rPr>
        <w:t>append</w:t>
      </w:r>
      <w:r w:rsidR="00464A90" w:rsidRPr="00DB7EE8">
        <w:rPr>
          <w:rFonts w:ascii="Times" w:hAnsi="Times"/>
        </w:rPr>
        <w:t xml:space="preserve"> our HarvardX dataset to </w:t>
      </w:r>
      <w:r w:rsidR="0090768B" w:rsidRPr="00DB7EE8">
        <w:rPr>
          <w:rFonts w:ascii="Times" w:hAnsi="Times"/>
        </w:rPr>
        <w:t>the ACS and Esri datasets and fit</w:t>
      </w:r>
      <w:r w:rsidR="00AD58A4" w:rsidRPr="00DB7EE8">
        <w:rPr>
          <w:rFonts w:ascii="Times" w:hAnsi="Times"/>
        </w:rPr>
        <w:t xml:space="preserve"> regression</w:t>
      </w:r>
      <w:r w:rsidR="0090768B" w:rsidRPr="00DB7EE8">
        <w:rPr>
          <w:rFonts w:ascii="Times" w:hAnsi="Times"/>
        </w:rPr>
        <w:t xml:space="preserve"> models</w:t>
      </w:r>
      <w:r w:rsidR="00624F5B" w:rsidRPr="00DB7EE8">
        <w:rPr>
          <w:rFonts w:ascii="Times" w:hAnsi="Times"/>
        </w:rPr>
        <w:t xml:space="preserve"> to estimate </w:t>
      </w:r>
      <w:r w:rsidR="00AD58A4" w:rsidRPr="00DB7EE8">
        <w:rPr>
          <w:rFonts w:ascii="Times" w:hAnsi="Times"/>
        </w:rPr>
        <w:t>the likelihood of a U.S. resident registering for a HarvardX course, condition</w:t>
      </w:r>
      <w:r w:rsidR="00305E46" w:rsidRPr="00DB7EE8">
        <w:rPr>
          <w:rFonts w:ascii="Times" w:hAnsi="Times"/>
        </w:rPr>
        <w:t>ed</w:t>
      </w:r>
      <w:r w:rsidR="00AD58A4" w:rsidRPr="00DB7EE8">
        <w:rPr>
          <w:rFonts w:ascii="Times" w:hAnsi="Times"/>
        </w:rPr>
        <w:t xml:space="preserve"> o</w:t>
      </w:r>
      <w:r w:rsidR="00624F5B" w:rsidRPr="00DB7EE8">
        <w:rPr>
          <w:rFonts w:ascii="Times" w:hAnsi="Times"/>
        </w:rPr>
        <w:t xml:space="preserve">n our two SES measures and age. </w:t>
      </w:r>
      <w:r w:rsidR="0073229D">
        <w:rPr>
          <w:rFonts w:ascii="Times" w:hAnsi="Times"/>
        </w:rPr>
        <w:t>From the</w:t>
      </w:r>
      <w:r w:rsidR="00305E46" w:rsidRPr="00DB7EE8">
        <w:rPr>
          <w:rFonts w:ascii="Times" w:hAnsi="Times"/>
        </w:rPr>
        <w:t>s</w:t>
      </w:r>
      <w:r w:rsidR="0073229D">
        <w:rPr>
          <w:rFonts w:ascii="Times" w:hAnsi="Times"/>
        </w:rPr>
        <w:t>e</w:t>
      </w:r>
      <w:r w:rsidR="00305E46" w:rsidRPr="00DB7EE8">
        <w:rPr>
          <w:rFonts w:ascii="Times" w:hAnsi="Times"/>
        </w:rPr>
        <w:t xml:space="preserve"> model</w:t>
      </w:r>
      <w:r w:rsidR="0073229D">
        <w:rPr>
          <w:rFonts w:ascii="Times" w:hAnsi="Times"/>
        </w:rPr>
        <w:t>s</w:t>
      </w:r>
      <w:r w:rsidR="00305E46" w:rsidRPr="00DB7EE8">
        <w:rPr>
          <w:rFonts w:ascii="Times" w:hAnsi="Times"/>
        </w:rPr>
        <w:t>, we can evaluate the substantive effects of parent education and neighborhood income on MOOC enrollment.</w:t>
      </w:r>
      <w:r w:rsidR="00624F5B" w:rsidRPr="00DB7EE8">
        <w:rPr>
          <w:rFonts w:ascii="Times" w:hAnsi="Times"/>
        </w:rPr>
        <w:t xml:space="preserve"> </w:t>
      </w:r>
      <w:r w:rsidR="00F067E1">
        <w:rPr>
          <w:rFonts w:ascii="Times" w:hAnsi="Times"/>
        </w:rPr>
        <w:t>W</w:t>
      </w:r>
      <w:r w:rsidR="00624F5B" w:rsidRPr="00DB7EE8">
        <w:rPr>
          <w:rFonts w:ascii="Times" w:hAnsi="Times"/>
        </w:rPr>
        <w:t xml:space="preserve">e </w:t>
      </w:r>
      <w:r w:rsidR="005D033D">
        <w:rPr>
          <w:rFonts w:ascii="Times" w:hAnsi="Times"/>
        </w:rPr>
        <w:t xml:space="preserve">also </w:t>
      </w:r>
      <w:r w:rsidR="00F067E1">
        <w:rPr>
          <w:rFonts w:ascii="Times" w:hAnsi="Times"/>
        </w:rPr>
        <w:t>estimate SES differences by</w:t>
      </w:r>
      <w:r w:rsidR="005D033D">
        <w:rPr>
          <w:rFonts w:ascii="Times" w:hAnsi="Times"/>
        </w:rPr>
        <w:t xml:space="preserve"> </w:t>
      </w:r>
      <w:r w:rsidR="00624F5B" w:rsidRPr="00DB7EE8">
        <w:rPr>
          <w:rFonts w:ascii="Times" w:hAnsi="Times"/>
        </w:rPr>
        <w:t>cou</w:t>
      </w:r>
      <w:r w:rsidR="00F067E1">
        <w:rPr>
          <w:rFonts w:ascii="Times" w:hAnsi="Times"/>
        </w:rPr>
        <w:t>rse, which confirms our general findings</w:t>
      </w:r>
      <w:r w:rsidR="005D033D">
        <w:rPr>
          <w:rFonts w:ascii="Times" w:hAnsi="Times"/>
        </w:rPr>
        <w:t>.</w:t>
      </w:r>
      <w:r w:rsidR="00624F5B" w:rsidRPr="00DB7EE8">
        <w:rPr>
          <w:rFonts w:ascii="Times" w:hAnsi="Times"/>
        </w:rPr>
        <w:t xml:space="preserve"> </w:t>
      </w:r>
    </w:p>
    <w:p w14:paraId="697DD42E" w14:textId="1DC8442C" w:rsidR="00FD605C" w:rsidRPr="00DB7EE8" w:rsidRDefault="0073229D" w:rsidP="00FD605C">
      <w:pPr>
        <w:pStyle w:val="Heading1"/>
        <w:rPr>
          <w:rFonts w:ascii="Times" w:hAnsi="Times"/>
        </w:rPr>
      </w:pPr>
      <w:r>
        <w:rPr>
          <w:rFonts w:ascii="Times" w:hAnsi="Times"/>
        </w:rPr>
        <w:t xml:space="preserve">4. </w:t>
      </w:r>
      <w:r w:rsidR="009E61CB" w:rsidRPr="00DB7EE8">
        <w:rPr>
          <w:rFonts w:ascii="Times" w:hAnsi="Times"/>
        </w:rPr>
        <w:t>der</w:t>
      </w:r>
      <w:r w:rsidR="00126958" w:rsidRPr="00DB7EE8">
        <w:rPr>
          <w:rFonts w:ascii="Times" w:hAnsi="Times"/>
        </w:rPr>
        <w:t xml:space="preserve">iving </w:t>
      </w:r>
      <w:r w:rsidR="00805A55" w:rsidRPr="00DB7EE8">
        <w:rPr>
          <w:rFonts w:ascii="Times" w:hAnsi="Times"/>
        </w:rPr>
        <w:t>NeIGHBORHOOD InCOME</w:t>
      </w:r>
      <w:r w:rsidR="009E61CB" w:rsidRPr="00DB7EE8">
        <w:rPr>
          <w:rFonts w:ascii="Times" w:hAnsi="Times"/>
        </w:rPr>
        <w:t xml:space="preserve"> from address</w:t>
      </w:r>
    </w:p>
    <w:p w14:paraId="56708D5B" w14:textId="6C43DDBF" w:rsidR="00805A55" w:rsidRPr="00DB7EE8" w:rsidRDefault="00805A55" w:rsidP="00805A55">
      <w:pPr>
        <w:tabs>
          <w:tab w:val="left" w:pos="5030"/>
        </w:tabs>
        <w:rPr>
          <w:rFonts w:ascii="Times" w:hAnsi="Times"/>
        </w:rPr>
      </w:pPr>
      <w:r w:rsidRPr="00DB7EE8">
        <w:rPr>
          <w:rFonts w:ascii="Times" w:hAnsi="Times"/>
        </w:rPr>
        <w:t>We demonstrate two approaches to parsing mailing addresses provided by HarvardX registrants and using this information to obtain further information about median neighborhood income. Our first approach was to parse self-reported mailing addresses from the edX site registration for a zip code and match that to demographic data available at the zip code level from the</w:t>
      </w:r>
      <w:r w:rsidR="004940BF">
        <w:rPr>
          <w:rFonts w:ascii="Times" w:hAnsi="Times"/>
        </w:rPr>
        <w:t xml:space="preserve"> American Community Survey</w:t>
      </w:r>
      <w:r w:rsidRPr="00DB7EE8">
        <w:rPr>
          <w:rFonts w:ascii="Times" w:hAnsi="Times"/>
        </w:rPr>
        <w:t>. The overall median zip code income estimate for the US i</w:t>
      </w:r>
      <w:r w:rsidR="00EB4696">
        <w:rPr>
          <w:rFonts w:ascii="Times" w:hAnsi="Times"/>
        </w:rPr>
        <w:t xml:space="preserve">s $53,046 </w:t>
      </w:r>
      <w:r w:rsidR="00EB4696">
        <w:rPr>
          <w:rFonts w:ascii="Times" w:hAnsi="Times"/>
        </w:rPr>
        <w:fldChar w:fldCharType="begin"/>
      </w:r>
      <w:r w:rsidR="00EB4696">
        <w:rPr>
          <w:rFonts w:ascii="Times" w:hAnsi="Times"/>
        </w:rPr>
        <w:instrText>ADDIN RW.CITE{{903 U.S. Census Bureau 2013}}</w:instrText>
      </w:r>
      <w:r w:rsidR="00EB4696">
        <w:rPr>
          <w:rFonts w:ascii="Times" w:hAnsi="Times"/>
        </w:rPr>
        <w:fldChar w:fldCharType="separate"/>
      </w:r>
      <w:r w:rsidR="00EB4696" w:rsidRPr="00EB4696">
        <w:rPr>
          <w:rFonts w:ascii="Times" w:hAnsi="Times"/>
        </w:rPr>
        <w:t>[14]</w:t>
      </w:r>
      <w:r w:rsidR="00EB4696">
        <w:rPr>
          <w:rFonts w:ascii="Times" w:hAnsi="Times"/>
        </w:rPr>
        <w:fldChar w:fldCharType="end"/>
      </w:r>
      <w:r w:rsidRPr="00DB7EE8">
        <w:rPr>
          <w:rFonts w:ascii="Times" w:hAnsi="Times"/>
        </w:rPr>
        <w:t xml:space="preserve">. Since the ACS includes the count of occupied housing units by zip code, we computed the </w:t>
      </w:r>
      <w:r w:rsidRPr="00DB7EE8">
        <w:rPr>
          <w:rFonts w:ascii="Times" w:hAnsi="Times"/>
          <w:i/>
        </w:rPr>
        <w:t xml:space="preserve">mean </w:t>
      </w:r>
      <w:r w:rsidRPr="00DB7EE8">
        <w:rPr>
          <w:rFonts w:ascii="Times" w:hAnsi="Times"/>
        </w:rPr>
        <w:t>of median zip code household income in the US by taking a weighted average. The weighted mean</w:t>
      </w:r>
      <w:r w:rsidRPr="00DB7EE8">
        <w:rPr>
          <w:rFonts w:ascii="Times" w:hAnsi="Times"/>
          <w:i/>
        </w:rPr>
        <w:t xml:space="preserve"> </w:t>
      </w:r>
      <w:r w:rsidRPr="00DB7EE8">
        <w:rPr>
          <w:rFonts w:ascii="Times" w:hAnsi="Times"/>
        </w:rPr>
        <w:t>of median zip code incomes in the US was $56,532 (sd = 22,876). Estimates are in 2012 dollars</w:t>
      </w:r>
      <w:r w:rsidR="005B0BBF">
        <w:rPr>
          <w:rFonts w:ascii="Times" w:hAnsi="Times"/>
        </w:rPr>
        <w:t>.</w:t>
      </w:r>
      <w:r w:rsidRPr="00DB7EE8">
        <w:rPr>
          <w:rFonts w:ascii="Times" w:hAnsi="Times"/>
        </w:rPr>
        <w:t xml:space="preserve"> The mean</w:t>
      </w:r>
      <w:r w:rsidRPr="00DB7EE8">
        <w:rPr>
          <w:rFonts w:ascii="Times" w:hAnsi="Times"/>
          <w:i/>
        </w:rPr>
        <w:t xml:space="preserve"> </w:t>
      </w:r>
      <w:r w:rsidRPr="00DB7EE8">
        <w:rPr>
          <w:rFonts w:ascii="Times" w:hAnsi="Times"/>
        </w:rPr>
        <w:t xml:space="preserve">of median zip code household income observed in the HarvardX sample of unique registrants was $68,262. </w:t>
      </w:r>
      <w:r w:rsidR="00550B3B">
        <w:rPr>
          <w:rFonts w:ascii="Times" w:hAnsi="Times"/>
        </w:rPr>
        <w:t xml:space="preserve">The dashed line in </w:t>
      </w:r>
      <w:r w:rsidR="004940BF">
        <w:rPr>
          <w:rFonts w:ascii="Times" w:hAnsi="Times"/>
        </w:rPr>
        <w:t>Figure 2</w:t>
      </w:r>
      <w:r w:rsidRPr="00DB7EE8">
        <w:rPr>
          <w:rFonts w:ascii="Times" w:hAnsi="Times"/>
        </w:rPr>
        <w:t xml:space="preserve"> shows the zip code median household income for unique HarvardX registrants reportin</w:t>
      </w:r>
      <w:r w:rsidR="00550B3B">
        <w:rPr>
          <w:rFonts w:ascii="Times" w:hAnsi="Times"/>
        </w:rPr>
        <w:t>g a valid zip code (n=51,751) tends to be</w:t>
      </w:r>
      <w:r w:rsidRPr="00DB7EE8">
        <w:rPr>
          <w:rFonts w:ascii="Times" w:hAnsi="Times"/>
        </w:rPr>
        <w:t xml:space="preserve"> higher than the general US population. The difference between unique HarvardX registrants and the US</w:t>
      </w:r>
      <w:r w:rsidR="00EB48D8">
        <w:rPr>
          <w:rFonts w:ascii="Times" w:hAnsi="Times"/>
        </w:rPr>
        <w:t xml:space="preserve"> population is $11,730, or a</w:t>
      </w:r>
      <w:r w:rsidRPr="00DB7EE8">
        <w:rPr>
          <w:rFonts w:ascii="Times" w:hAnsi="Times"/>
        </w:rPr>
        <w:t>pproximately .51 standard deviations (11,730/22,876).</w:t>
      </w:r>
    </w:p>
    <w:p w14:paraId="6873C5E6" w14:textId="7B662AE2" w:rsidR="00580514" w:rsidRPr="00DB7EE8" w:rsidRDefault="009C5C1F" w:rsidP="0043761D">
      <w:pPr>
        <w:tabs>
          <w:tab w:val="left" w:pos="5030"/>
        </w:tabs>
        <w:rPr>
          <w:rFonts w:ascii="Times" w:hAnsi="Times"/>
        </w:rPr>
      </w:pPr>
      <w:r w:rsidRPr="00DB7EE8">
        <w:rPr>
          <w:rFonts w:ascii="Times" w:hAnsi="Times"/>
        </w:rPr>
        <w:t>Zi</w:t>
      </w:r>
      <w:r w:rsidR="00D13D66" w:rsidRPr="00DB7EE8">
        <w:rPr>
          <w:rFonts w:ascii="Times" w:hAnsi="Times"/>
        </w:rPr>
        <w:t xml:space="preserve">p codes have the advantage of being easy to parse from </w:t>
      </w:r>
      <w:r w:rsidR="00810394" w:rsidRPr="00DB7EE8">
        <w:rPr>
          <w:rFonts w:ascii="Times" w:hAnsi="Times"/>
        </w:rPr>
        <w:t xml:space="preserve">an open field mailing address, </w:t>
      </w:r>
      <w:r w:rsidR="00D13D66" w:rsidRPr="00DB7EE8">
        <w:rPr>
          <w:rFonts w:ascii="Times" w:hAnsi="Times"/>
        </w:rPr>
        <w:t xml:space="preserve">but </w:t>
      </w:r>
      <w:r w:rsidR="00810394" w:rsidRPr="00DB7EE8">
        <w:rPr>
          <w:rFonts w:ascii="Times" w:hAnsi="Times"/>
        </w:rPr>
        <w:t xml:space="preserve">there are </w:t>
      </w:r>
      <w:r w:rsidR="001E748F" w:rsidRPr="00DB7EE8">
        <w:rPr>
          <w:rFonts w:ascii="Times" w:hAnsi="Times"/>
        </w:rPr>
        <w:t>drawbacks</w:t>
      </w:r>
      <w:r w:rsidR="00A17EAB" w:rsidRPr="00DB7EE8">
        <w:rPr>
          <w:rFonts w:ascii="Times" w:hAnsi="Times"/>
        </w:rPr>
        <w:t xml:space="preserve"> of </w:t>
      </w:r>
      <w:r w:rsidR="001E748F" w:rsidRPr="00DB7EE8">
        <w:rPr>
          <w:rFonts w:ascii="Times" w:hAnsi="Times"/>
        </w:rPr>
        <w:t xml:space="preserve">using </w:t>
      </w:r>
      <w:r w:rsidR="00A17EAB" w:rsidRPr="00DB7EE8">
        <w:rPr>
          <w:rFonts w:ascii="Times" w:hAnsi="Times"/>
        </w:rPr>
        <w:t>the ACS data agg</w:t>
      </w:r>
      <w:r w:rsidR="00810394" w:rsidRPr="00DB7EE8">
        <w:rPr>
          <w:rFonts w:ascii="Times" w:hAnsi="Times"/>
        </w:rPr>
        <w:t>regated at the zip code level</w:t>
      </w:r>
      <w:r w:rsidR="001E748F" w:rsidRPr="00DB7EE8">
        <w:rPr>
          <w:rFonts w:ascii="Times" w:hAnsi="Times"/>
        </w:rPr>
        <w:t xml:space="preserve">. One </w:t>
      </w:r>
      <w:r w:rsidR="00D13D66" w:rsidRPr="00DB7EE8">
        <w:rPr>
          <w:rFonts w:ascii="Times" w:hAnsi="Times"/>
        </w:rPr>
        <w:t>issue</w:t>
      </w:r>
      <w:r w:rsidR="001E748F" w:rsidRPr="00DB7EE8">
        <w:rPr>
          <w:rFonts w:ascii="Times" w:hAnsi="Times"/>
        </w:rPr>
        <w:t xml:space="preserve"> is that zip code boundaries are drawn—and occasionally redrawn—by the US Postal Service in order to support efficient mail delivery</w:t>
      </w:r>
      <w:r w:rsidR="004940BF">
        <w:rPr>
          <w:rFonts w:ascii="Times" w:hAnsi="Times"/>
        </w:rPr>
        <w:t xml:space="preserve"> </w:t>
      </w:r>
      <w:r w:rsidR="004940BF">
        <w:rPr>
          <w:rFonts w:ascii="Times" w:hAnsi="Times"/>
        </w:rPr>
        <w:fldChar w:fldCharType="begin"/>
      </w:r>
      <w:r w:rsidR="004940BF">
        <w:rPr>
          <w:rFonts w:ascii="Times" w:hAnsi="Times"/>
        </w:rPr>
        <w:instrText>ADDIN RW.CITE{{892 U.S. Census Bureau 2010}}</w:instrText>
      </w:r>
      <w:r w:rsidR="004940BF">
        <w:rPr>
          <w:rFonts w:ascii="Times" w:hAnsi="Times"/>
        </w:rPr>
        <w:fldChar w:fldCharType="separate"/>
      </w:r>
      <w:r w:rsidR="00EB4696" w:rsidRPr="00EB4696">
        <w:rPr>
          <w:rFonts w:ascii="Times" w:hAnsi="Times"/>
        </w:rPr>
        <w:t>[15]</w:t>
      </w:r>
      <w:r w:rsidR="004940BF">
        <w:rPr>
          <w:rFonts w:ascii="Times" w:hAnsi="Times"/>
        </w:rPr>
        <w:fldChar w:fldCharType="end"/>
      </w:r>
      <w:r w:rsidR="001E748F" w:rsidRPr="00DB7EE8">
        <w:rPr>
          <w:rFonts w:ascii="Times" w:hAnsi="Times"/>
        </w:rPr>
        <w:t xml:space="preserve">, not the </w:t>
      </w:r>
      <w:r w:rsidR="006D22A5" w:rsidRPr="00DB7EE8">
        <w:rPr>
          <w:rFonts w:ascii="Times" w:hAnsi="Times"/>
        </w:rPr>
        <w:t>interests</w:t>
      </w:r>
      <w:r w:rsidR="001E748F" w:rsidRPr="00DB7EE8">
        <w:rPr>
          <w:rFonts w:ascii="Times" w:hAnsi="Times"/>
        </w:rPr>
        <w:t xml:space="preserve"> of demographically-minded researchers. Additionally, </w:t>
      </w:r>
      <w:r w:rsidR="00D317B8" w:rsidRPr="00DB7EE8">
        <w:rPr>
          <w:rFonts w:ascii="Times" w:hAnsi="Times"/>
        </w:rPr>
        <w:t xml:space="preserve">the zip code-level dataset we used here was not disaggregated by age; it only contained estimates of the number of households per zip code. </w:t>
      </w:r>
      <w:r w:rsidR="00D13D66" w:rsidRPr="00DB7EE8">
        <w:rPr>
          <w:rFonts w:ascii="Times" w:hAnsi="Times"/>
        </w:rPr>
        <w:t xml:space="preserve">Since </w:t>
      </w:r>
      <w:r w:rsidR="00A17EAB" w:rsidRPr="00DB7EE8">
        <w:rPr>
          <w:rFonts w:ascii="Times" w:hAnsi="Times"/>
        </w:rPr>
        <w:t>ag</w:t>
      </w:r>
      <w:r w:rsidR="00A50295" w:rsidRPr="00DB7EE8">
        <w:rPr>
          <w:rFonts w:ascii="Times" w:hAnsi="Times"/>
        </w:rPr>
        <w:t>e and median zip code income are associated—as shown in Figure 1—</w:t>
      </w:r>
      <w:r w:rsidR="00A17EAB" w:rsidRPr="00DB7EE8">
        <w:rPr>
          <w:rFonts w:ascii="Times" w:hAnsi="Times"/>
        </w:rPr>
        <w:t>failing to take into account differences in the age distributions between Har</w:t>
      </w:r>
      <w:r w:rsidR="0020733A" w:rsidRPr="00DB7EE8">
        <w:rPr>
          <w:rFonts w:ascii="Times" w:hAnsi="Times"/>
        </w:rPr>
        <w:t>vardX and the US could</w:t>
      </w:r>
      <w:r w:rsidR="00A17EAB" w:rsidRPr="00DB7EE8">
        <w:rPr>
          <w:rFonts w:ascii="Times" w:hAnsi="Times"/>
        </w:rPr>
        <w:t xml:space="preserve"> </w:t>
      </w:r>
      <w:r w:rsidR="003758C6" w:rsidRPr="00DB7EE8">
        <w:rPr>
          <w:rFonts w:ascii="Times" w:hAnsi="Times"/>
        </w:rPr>
        <w:t>lead to</w:t>
      </w:r>
      <w:r w:rsidR="00ED6304" w:rsidRPr="00DB7EE8">
        <w:rPr>
          <w:rFonts w:ascii="Times" w:hAnsi="Times"/>
          <w:noProof/>
        </w:rPr>
        <w:t xml:space="preserve"> </w:t>
      </w:r>
      <w:r w:rsidR="00A50295" w:rsidRPr="00DB7EE8">
        <w:rPr>
          <w:rFonts w:ascii="Times" w:hAnsi="Times"/>
        </w:rPr>
        <w:t>biased estimates of</w:t>
      </w:r>
      <w:r w:rsidR="003758C6" w:rsidRPr="00DB7EE8">
        <w:rPr>
          <w:rFonts w:ascii="Times" w:hAnsi="Times"/>
        </w:rPr>
        <w:t xml:space="preserve"> the</w:t>
      </w:r>
      <w:r w:rsidR="0020733A" w:rsidRPr="00DB7EE8">
        <w:rPr>
          <w:rFonts w:ascii="Times" w:hAnsi="Times"/>
        </w:rPr>
        <w:t xml:space="preserve"> difference in neighborhood income for HarvardX registrants and the US population</w:t>
      </w:r>
      <w:r w:rsidR="00A50295" w:rsidRPr="00DB7EE8">
        <w:rPr>
          <w:rFonts w:ascii="Times" w:hAnsi="Times"/>
        </w:rPr>
        <w:t>.</w:t>
      </w:r>
      <w:r w:rsidR="0020733A" w:rsidRPr="00DB7EE8">
        <w:rPr>
          <w:rFonts w:ascii="Times" w:hAnsi="Times"/>
        </w:rPr>
        <w:t xml:space="preserve"> </w:t>
      </w:r>
    </w:p>
    <w:p w14:paraId="60AB1D23" w14:textId="545184A1" w:rsidR="00854A98" w:rsidRPr="00DB7EE8" w:rsidRDefault="00943D54" w:rsidP="00854A98">
      <w:pPr>
        <w:rPr>
          <w:rFonts w:ascii="Times" w:hAnsi="Times"/>
        </w:rPr>
      </w:pPr>
      <w:r>
        <w:rPr>
          <w:rFonts w:ascii="Times" w:hAnsi="Times"/>
        </w:rPr>
        <w:t>To address these</w:t>
      </w:r>
      <w:r w:rsidR="00854A98" w:rsidRPr="00DB7EE8">
        <w:rPr>
          <w:rFonts w:ascii="Times" w:hAnsi="Times"/>
        </w:rPr>
        <w:t xml:space="preserve"> concern</w:t>
      </w:r>
      <w:r>
        <w:rPr>
          <w:rFonts w:ascii="Times" w:hAnsi="Times"/>
        </w:rPr>
        <w:t>s</w:t>
      </w:r>
      <w:r w:rsidR="00854A98" w:rsidRPr="00DB7EE8">
        <w:rPr>
          <w:rFonts w:ascii="Times" w:hAnsi="Times"/>
        </w:rPr>
        <w:t>, in our second approach to deriving neighborhood income da</w:t>
      </w:r>
      <w:r w:rsidR="00BE7276">
        <w:rPr>
          <w:rFonts w:ascii="Times" w:hAnsi="Times"/>
        </w:rPr>
        <w:t>ta, we use</w:t>
      </w:r>
      <w:r w:rsidR="00854A98" w:rsidRPr="00DB7EE8">
        <w:rPr>
          <w:rFonts w:ascii="Times" w:hAnsi="Times"/>
        </w:rPr>
        <w:t xml:space="preserve"> a demograp</w:t>
      </w:r>
      <w:r w:rsidR="00E361CC">
        <w:rPr>
          <w:rFonts w:ascii="Times" w:hAnsi="Times"/>
        </w:rPr>
        <w:t xml:space="preserve">hic dataset available from Esri. In this dataset, </w:t>
      </w:r>
      <w:r w:rsidR="00854A98" w:rsidRPr="00DB7EE8">
        <w:rPr>
          <w:rFonts w:ascii="Times" w:hAnsi="Times"/>
        </w:rPr>
        <w:t>the geographic unit of analysis is the census block group</w:t>
      </w:r>
      <w:r w:rsidR="00B96AD3">
        <w:rPr>
          <w:rFonts w:ascii="Times" w:hAnsi="Times"/>
        </w:rPr>
        <w:t xml:space="preserve"> </w:t>
      </w:r>
      <w:r w:rsidR="00854A98" w:rsidRPr="00DB7EE8">
        <w:rPr>
          <w:rFonts w:ascii="Times" w:hAnsi="Times"/>
        </w:rPr>
        <w:t>and population c</w:t>
      </w:r>
      <w:r w:rsidR="00FA45F0">
        <w:rPr>
          <w:rFonts w:ascii="Times" w:hAnsi="Times"/>
        </w:rPr>
        <w:t xml:space="preserve">ounts are disaggregated by age </w:t>
      </w:r>
      <w:r w:rsidR="00FA45F0">
        <w:rPr>
          <w:rFonts w:ascii="Times" w:hAnsi="Times"/>
        </w:rPr>
        <w:fldChar w:fldCharType="begin"/>
      </w:r>
      <w:r w:rsidR="00FA45F0">
        <w:rPr>
          <w:rFonts w:ascii="Times" w:hAnsi="Times"/>
        </w:rPr>
        <w:instrText>ADDIN RW.CITE{{891 Esri 2014;892 U.S. Census Bureau 2010}}</w:instrText>
      </w:r>
      <w:r w:rsidR="00FA45F0">
        <w:rPr>
          <w:rFonts w:ascii="Times" w:hAnsi="Times"/>
        </w:rPr>
        <w:fldChar w:fldCharType="separate"/>
      </w:r>
      <w:r w:rsidR="00EB4696" w:rsidRPr="00EB4696">
        <w:rPr>
          <w:rFonts w:ascii="Times" w:hAnsi="Times"/>
        </w:rPr>
        <w:t>[6, 15]</w:t>
      </w:r>
      <w:r w:rsidR="00FA45F0">
        <w:rPr>
          <w:rFonts w:ascii="Times" w:hAnsi="Times"/>
        </w:rPr>
        <w:fldChar w:fldCharType="end"/>
      </w:r>
      <w:r w:rsidR="00854A98" w:rsidRPr="00DB7EE8">
        <w:rPr>
          <w:rFonts w:ascii="Times" w:hAnsi="Times"/>
        </w:rPr>
        <w:t>. We parsed the mailing address from the edX site registration survey into several fields</w:t>
      </w:r>
      <w:r w:rsidR="00B96AD3">
        <w:rPr>
          <w:rFonts w:ascii="Times" w:hAnsi="Times"/>
        </w:rPr>
        <w:t>, which</w:t>
      </w:r>
      <w:r w:rsidR="00854A98" w:rsidRPr="00DB7EE8">
        <w:rPr>
          <w:rFonts w:ascii="Times" w:hAnsi="Times"/>
        </w:rPr>
        <w:t xml:space="preserve"> allowed geocoding software to estimate latitude and longitude coordinates, and we performed a spatial join to match HarvardX registrants with demographic data for their census block group. </w:t>
      </w:r>
    </w:p>
    <w:p w14:paraId="62486EE3" w14:textId="1A646861" w:rsidR="0097150A" w:rsidRPr="00DB7EE8" w:rsidRDefault="00861C93" w:rsidP="0097150A">
      <w:pPr>
        <w:rPr>
          <w:rFonts w:ascii="Times" w:hAnsi="Times"/>
        </w:rPr>
      </w:pPr>
      <w:r>
        <w:rPr>
          <w:rFonts w:ascii="Times" w:hAnsi="Times"/>
          <w:noProof/>
        </w:rPr>
        <w:drawing>
          <wp:anchor distT="0" distB="0" distL="114300" distR="114300" simplePos="0" relativeHeight="251688960" behindDoc="0" locked="0" layoutInCell="1" allowOverlap="1" wp14:anchorId="49F07339" wp14:editId="27432835">
            <wp:simplePos x="0" y="0"/>
            <wp:positionH relativeFrom="column">
              <wp:posOffset>3314700</wp:posOffset>
            </wp:positionH>
            <wp:positionV relativeFrom="paragraph">
              <wp:posOffset>5600700</wp:posOffset>
            </wp:positionV>
            <wp:extent cx="3060065" cy="2226945"/>
            <wp:effectExtent l="0" t="0" r="0" b="8255"/>
            <wp:wrapSquare wrapText="bothSides"/>
            <wp:docPr id="24" name="Picture 24" descr="Macintosh HD:Users:johnhansen:Dropbox:HarvardX Summer Team 2014:John and Justin:tables and figures:gray:hx_us_catplot_ped1_gra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ohnhansen:Dropbox:HarvardX Summer Team 2014:John and Justin:tables and figures:gray:hx_us_catplot_ped1_gray.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065"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F68" w:rsidRPr="00DB7EE8">
        <w:rPr>
          <w:rFonts w:ascii="Times" w:hAnsi="Times"/>
        </w:rPr>
        <w:t>Figure 3</w:t>
      </w:r>
      <w:r w:rsidR="00581B49" w:rsidRPr="00DB7EE8">
        <w:rPr>
          <w:rFonts w:ascii="Times" w:hAnsi="Times"/>
        </w:rPr>
        <w:t xml:space="preserve"> shows that HarvardX registrants reporting</w:t>
      </w:r>
      <w:r w:rsidR="00581B49" w:rsidRPr="00DB7EE8">
        <w:rPr>
          <w:rFonts w:ascii="Times" w:hAnsi="Times"/>
          <w:i/>
        </w:rPr>
        <w:t xml:space="preserve"> </w:t>
      </w:r>
      <w:r w:rsidR="00581B49" w:rsidRPr="00DB7EE8">
        <w:rPr>
          <w:rFonts w:ascii="Times" w:hAnsi="Times"/>
        </w:rPr>
        <w:t>a</w:t>
      </w:r>
      <w:r w:rsidR="00581B49" w:rsidRPr="00DB7EE8">
        <w:rPr>
          <w:rFonts w:ascii="Times" w:hAnsi="Times"/>
          <w:i/>
        </w:rPr>
        <w:t xml:space="preserve"> </w:t>
      </w:r>
      <w:r w:rsidR="00581B49" w:rsidRPr="00DB7EE8">
        <w:rPr>
          <w:rFonts w:ascii="Times" w:hAnsi="Times"/>
        </w:rPr>
        <w:t>parsable mailing address (n=44,362) tend to live in census block groups with higher median household incomes than individuals of the same age in the U</w:t>
      </w:r>
      <w:r w:rsidR="00BB532B" w:rsidRPr="00DB7EE8">
        <w:rPr>
          <w:rFonts w:ascii="Times" w:hAnsi="Times"/>
        </w:rPr>
        <w:t>.</w:t>
      </w:r>
      <w:r w:rsidR="00581B49" w:rsidRPr="00DB7EE8">
        <w:rPr>
          <w:rFonts w:ascii="Times" w:hAnsi="Times"/>
        </w:rPr>
        <w:t>S. According to our dataset,</w:t>
      </w:r>
      <w:r w:rsidR="004940BF" w:rsidRPr="004940BF">
        <w:rPr>
          <w:rFonts w:ascii="Times" w:hAnsi="Times"/>
          <w:noProof/>
        </w:rPr>
        <w:t xml:space="preserve"> </w:t>
      </w:r>
      <w:r w:rsidR="00581B49" w:rsidRPr="00DB7EE8">
        <w:rPr>
          <w:rFonts w:ascii="Times" w:hAnsi="Times"/>
        </w:rPr>
        <w:t xml:space="preserve">where </w:t>
      </w:r>
      <w:r w:rsidR="009E2629">
        <w:rPr>
          <w:rFonts w:ascii="Times" w:hAnsi="Times"/>
        </w:rPr>
        <w:t xml:space="preserve">2013 </w:t>
      </w:r>
      <w:r w:rsidR="00581B49" w:rsidRPr="00DB7EE8">
        <w:rPr>
          <w:rFonts w:ascii="Times" w:hAnsi="Times"/>
        </w:rPr>
        <w:t>census block group median income is top</w:t>
      </w:r>
      <w:r w:rsidR="00BA084E" w:rsidRPr="00DB7EE8">
        <w:rPr>
          <w:rFonts w:ascii="Times" w:hAnsi="Times"/>
        </w:rPr>
        <w:t xml:space="preserve">- coded at $200,001, the weighted mean in the US is $57,642 (sd = 30,535). For unique HarvardX registrants, the comparable </w:t>
      </w:r>
      <w:r w:rsidR="0040080C">
        <w:rPr>
          <w:rFonts w:ascii="Times" w:hAnsi="Times"/>
          <w:noProof/>
        </w:rPr>
        <w:drawing>
          <wp:anchor distT="0" distB="0" distL="114300" distR="114300" simplePos="0" relativeHeight="251692032" behindDoc="0" locked="0" layoutInCell="1" allowOverlap="1" wp14:anchorId="1334761A" wp14:editId="396F724E">
            <wp:simplePos x="0" y="0"/>
            <wp:positionH relativeFrom="column">
              <wp:posOffset>1905</wp:posOffset>
            </wp:positionH>
            <wp:positionV relativeFrom="paragraph">
              <wp:posOffset>1905</wp:posOffset>
            </wp:positionV>
            <wp:extent cx="3060065" cy="2226945"/>
            <wp:effectExtent l="0" t="0" r="0" b="8255"/>
            <wp:wrapSquare wrapText="bothSides"/>
            <wp:docPr id="7" name="Picture 7" descr="Macintosh HD:Users:johnhansen:Dropbox:HarvardX Summer Team 2014:John and Justin:tables and figures:gray:hx_us_income_by_age_gra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hnhansen:Dropbox:HarvardX Summer Team 2014:John and Justin:tables and figures:gray:hx_us_income_by_age_gray.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065"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84E" w:rsidRPr="00DB7EE8">
        <w:rPr>
          <w:rFonts w:ascii="Times" w:hAnsi="Times"/>
        </w:rPr>
        <w:t>mean</w:t>
      </w:r>
      <w:r w:rsidR="001953C0">
        <w:rPr>
          <w:rFonts w:ascii="Times" w:hAnsi="Times"/>
        </w:rPr>
        <w:t xml:space="preserve"> is $70,646. </w:t>
      </w:r>
      <w:r w:rsidR="004136D2">
        <w:rPr>
          <w:rFonts w:ascii="Times" w:hAnsi="Times"/>
        </w:rPr>
        <w:t xml:space="preserve">Notice that </w:t>
      </w:r>
      <w:r w:rsidR="00633EE2">
        <w:rPr>
          <w:rFonts w:ascii="Times" w:hAnsi="Times"/>
        </w:rPr>
        <w:t xml:space="preserve">we </w:t>
      </w:r>
      <w:r w:rsidR="001953C0">
        <w:rPr>
          <w:rFonts w:ascii="Times" w:hAnsi="Times"/>
        </w:rPr>
        <w:t>find</w:t>
      </w:r>
      <w:r w:rsidR="00633EE2">
        <w:rPr>
          <w:rFonts w:ascii="Times" w:hAnsi="Times"/>
        </w:rPr>
        <w:t xml:space="preserve"> the </w:t>
      </w:r>
      <w:r w:rsidR="001953C0">
        <w:rPr>
          <w:rFonts w:ascii="Times" w:hAnsi="Times"/>
        </w:rPr>
        <w:t>difference to be greater</w:t>
      </w:r>
      <w:r w:rsidR="00633EE2">
        <w:rPr>
          <w:rFonts w:ascii="Times" w:hAnsi="Times"/>
        </w:rPr>
        <w:t xml:space="preserve"> for younger and older</w:t>
      </w:r>
      <w:r w:rsidR="001953C0">
        <w:rPr>
          <w:rFonts w:ascii="Times" w:hAnsi="Times"/>
        </w:rPr>
        <w:t xml:space="preserve"> students</w:t>
      </w:r>
      <w:r w:rsidR="00633EE2">
        <w:rPr>
          <w:rFonts w:ascii="Times" w:hAnsi="Times"/>
        </w:rPr>
        <w:t xml:space="preserve"> compared </w:t>
      </w:r>
      <w:r w:rsidR="001953C0">
        <w:rPr>
          <w:rFonts w:ascii="Times" w:hAnsi="Times"/>
        </w:rPr>
        <w:t xml:space="preserve">to </w:t>
      </w:r>
      <w:r w:rsidR="00633EE2">
        <w:rPr>
          <w:rFonts w:ascii="Times" w:hAnsi="Times"/>
        </w:rPr>
        <w:t xml:space="preserve">students between 20 and 40. </w:t>
      </w:r>
      <w:r w:rsidR="00BA084E" w:rsidRPr="00DB7EE8">
        <w:rPr>
          <w:rFonts w:ascii="Times" w:hAnsi="Times"/>
        </w:rPr>
        <w:t xml:space="preserve">Using the same approach as we did with ACS zip code data, we compute a difference in neighborhood income of $13,184 or .425 standard deviations. We can further refine these comparisons by </w:t>
      </w:r>
      <w:r w:rsidR="00275F68" w:rsidRPr="00DB7EE8">
        <w:rPr>
          <w:rFonts w:ascii="Times" w:hAnsi="Times"/>
        </w:rPr>
        <w:t xml:space="preserve">simultaneously taking into account the differences in </w:t>
      </w:r>
      <w:r w:rsidR="007827F9" w:rsidRPr="00DB7EE8">
        <w:rPr>
          <w:rFonts w:ascii="Times" w:hAnsi="Times"/>
        </w:rPr>
        <w:t>registration probability and neighborhood median income attributable to age.</w:t>
      </w:r>
      <w:r w:rsidR="00275F68" w:rsidRPr="00DB7EE8">
        <w:rPr>
          <w:rFonts w:ascii="Times" w:hAnsi="Times"/>
        </w:rPr>
        <w:t xml:space="preserve"> </w:t>
      </w:r>
      <w:r w:rsidR="0097150A" w:rsidRPr="00DB7EE8">
        <w:rPr>
          <w:rFonts w:ascii="Times" w:hAnsi="Times"/>
        </w:rPr>
        <w:t xml:space="preserve">To estimate the average difference in neighborhood median </w:t>
      </w:r>
      <w:r w:rsidR="00756E72">
        <w:rPr>
          <w:rFonts w:ascii="Times" w:hAnsi="Times"/>
        </w:rPr>
        <w:t xml:space="preserve">household </w:t>
      </w:r>
      <w:r w:rsidR="0097150A" w:rsidRPr="00DB7EE8">
        <w:rPr>
          <w:rFonts w:ascii="Times" w:hAnsi="Times"/>
        </w:rPr>
        <w:t xml:space="preserve">income between HarvardX registrants and the U.S. population </w:t>
      </w:r>
      <w:r w:rsidR="0097150A" w:rsidRPr="00DB7EE8">
        <w:rPr>
          <w:rFonts w:ascii="Times" w:hAnsi="Times"/>
          <w:i/>
        </w:rPr>
        <w:t>taking into account the cross-sectional association between age and neighborhood income,</w:t>
      </w:r>
      <w:r w:rsidR="0097150A" w:rsidRPr="00DB7EE8">
        <w:rPr>
          <w:rFonts w:ascii="Times" w:hAnsi="Times"/>
        </w:rPr>
        <w:t xml:space="preserve"> we fit the following </w:t>
      </w:r>
      <w:r w:rsidR="001953C0">
        <w:rPr>
          <w:rFonts w:ascii="Times" w:hAnsi="Times"/>
        </w:rPr>
        <w:t>model:</w:t>
      </w:r>
      <w:r w:rsidR="0097150A" w:rsidRPr="00DB7EE8">
        <w:rPr>
          <w:rFonts w:ascii="Times" w:hAnsi="Times"/>
        </w:rPr>
        <w:t xml:space="preserve">  </w:t>
      </w:r>
    </w:p>
    <w:p w14:paraId="0FD2E457" w14:textId="33094D91" w:rsidR="0097150A" w:rsidRPr="00DB7EE8" w:rsidRDefault="004C0B2C" w:rsidP="0097150A">
      <w:pPr>
        <w:jc w:val="center"/>
        <w:rPr>
          <w:rFonts w:ascii="Times" w:hAnsi="Times"/>
          <w:sz w:val="18"/>
          <w:szCs w:val="18"/>
        </w:rPr>
      </w:pPr>
      <m:oMath>
        <m:sSub>
          <m:sSubPr>
            <m:ctrlPr>
              <w:rPr>
                <w:rFonts w:ascii="Cambria Math" w:hAnsi="Cambria Math"/>
                <w:i/>
                <w:sz w:val="18"/>
                <w:szCs w:val="18"/>
              </w:rPr>
            </m:ctrlPr>
          </m:sSubPr>
          <m:e>
            <m:r>
              <w:rPr>
                <w:rFonts w:ascii="Cambria Math" w:hAnsi="Cambria Math"/>
                <w:sz w:val="18"/>
                <w:szCs w:val="18"/>
              </w:rPr>
              <m:t>med_hinc</m:t>
            </m:r>
          </m:e>
          <m:sub>
            <m:r>
              <w:rPr>
                <w:rFonts w:ascii="Cambria Math" w:hAnsi="Cambria Math"/>
                <w:sz w:val="18"/>
                <w:szCs w:val="18"/>
              </w:rPr>
              <m:t>ij</m:t>
            </m:r>
          </m:sub>
        </m:sSub>
        <m:r>
          <w:rPr>
            <w:rFonts w:ascii="Cambria Math" w:hAnsi="Cambria Math"/>
            <w:sz w:val="18"/>
            <w:szCs w:val="18"/>
          </w:rPr>
          <m:t>=β</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HX</m:t>
                </m:r>
              </m:e>
              <m:sub>
                <m:r>
                  <w:rPr>
                    <w:rFonts w:ascii="Cambria Math" w:hAnsi="Cambria Math"/>
                    <w:sz w:val="18"/>
                    <w:szCs w:val="18"/>
                  </w:rPr>
                  <m:t>i</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ϵ</m:t>
            </m:r>
          </m:e>
          <m:sub>
            <m:r>
              <w:rPr>
                <w:rFonts w:ascii="Cambria Math" w:hAnsi="Cambria Math"/>
                <w:sz w:val="18"/>
                <w:szCs w:val="18"/>
              </w:rPr>
              <m:t>i</m:t>
            </m:r>
          </m:sub>
        </m:sSub>
      </m:oMath>
      <w:r w:rsidR="0097150A" w:rsidRPr="00DB7EE8">
        <w:rPr>
          <w:rFonts w:ascii="Times" w:hAnsi="Times"/>
          <w:sz w:val="18"/>
          <w:szCs w:val="18"/>
        </w:rPr>
        <w:t>,</w:t>
      </w:r>
    </w:p>
    <w:p w14:paraId="288EAA55" w14:textId="7EFD503C" w:rsidR="0097150A" w:rsidRPr="00DB7EE8" w:rsidRDefault="00103B0D" w:rsidP="0097150A">
      <w:pPr>
        <w:rPr>
          <w:rFonts w:ascii="Times" w:hAnsi="Times"/>
        </w:rPr>
      </w:pPr>
      <w:r>
        <w:rPr>
          <w:noProof/>
        </w:rPr>
        <mc:AlternateContent>
          <mc:Choice Requires="wps">
            <w:drawing>
              <wp:anchor distT="0" distB="0" distL="114300" distR="114300" simplePos="0" relativeHeight="251671552" behindDoc="0" locked="0" layoutInCell="1" allowOverlap="1" wp14:anchorId="2E3AB085" wp14:editId="7FB927E8">
                <wp:simplePos x="0" y="0"/>
                <wp:positionH relativeFrom="column">
                  <wp:posOffset>3314700</wp:posOffset>
                </wp:positionH>
                <wp:positionV relativeFrom="paragraph">
                  <wp:posOffset>1861820</wp:posOffset>
                </wp:positionV>
                <wp:extent cx="3086100" cy="571500"/>
                <wp:effectExtent l="0" t="0" r="0" b="0"/>
                <wp:wrapTight wrapText="bothSides">
                  <wp:wrapPolygon edited="0">
                    <wp:start x="178" y="960"/>
                    <wp:lineTo x="178" y="19200"/>
                    <wp:lineTo x="21156" y="19200"/>
                    <wp:lineTo x="21156" y="960"/>
                    <wp:lineTo x="178" y="96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16FE2" w14:textId="5EE51428" w:rsidR="00D50343" w:rsidRPr="00520586" w:rsidRDefault="00D50343" w:rsidP="00E756DB">
                            <w:pPr>
                              <w:jc w:val="center"/>
                              <w:rPr>
                                <w:b/>
                                <w:sz w:val="18"/>
                                <w:szCs w:val="18"/>
                              </w:rPr>
                            </w:pPr>
                            <w:r>
                              <w:rPr>
                                <w:b/>
                                <w:sz w:val="18"/>
                                <w:szCs w:val="18"/>
                              </w:rPr>
                              <w:t>Figure 4</w:t>
                            </w:r>
                            <w:r w:rsidRPr="00520586">
                              <w:rPr>
                                <w:b/>
                                <w:sz w:val="18"/>
                                <w:szCs w:val="18"/>
                              </w:rPr>
                              <w:t xml:space="preserve">: </w:t>
                            </w:r>
                            <w:r>
                              <w:rPr>
                                <w:b/>
                                <w:sz w:val="18"/>
                                <w:szCs w:val="18"/>
                              </w:rPr>
                              <w:t xml:space="preserve">Parental educational attainment among 13-17 year olds, for all U.S. non-institutionalized residents and 2013-2014 HarvardX registrants.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61pt;margin-top:146.6pt;width:24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" filled="f" stroked="f">
                <v:textbox inset=",7.2pt,,7.2pt">
                  <w:txbxContent>
                    <w:p w14:paraId="36316FE2" w14:textId="5EE51428" w:rsidR="00D50343" w:rsidRPr="00520586" w:rsidRDefault="00D50343" w:rsidP="00E756DB">
                      <w:pPr>
                        <w:jc w:val="center"/>
                        <w:rPr>
                          <w:b/>
                          <w:sz w:val="18"/>
                          <w:szCs w:val="18"/>
                        </w:rPr>
                      </w:pPr>
                      <w:r>
                        <w:rPr>
                          <w:b/>
                          <w:sz w:val="18"/>
                          <w:szCs w:val="18"/>
                        </w:rPr>
                        <w:t>Figure 4</w:t>
                      </w:r>
                      <w:r w:rsidRPr="00520586">
                        <w:rPr>
                          <w:b/>
                          <w:sz w:val="18"/>
                          <w:szCs w:val="18"/>
                        </w:rPr>
                        <w:t xml:space="preserve">: </w:t>
                      </w:r>
                      <w:r>
                        <w:rPr>
                          <w:b/>
                          <w:sz w:val="18"/>
                          <w:szCs w:val="18"/>
                        </w:rPr>
                        <w:t xml:space="preserve">Parental educational attainment among 13-17 year olds, for all U.S. non-institutionalized residents and 2013-2014 HarvardX registrants. </w:t>
                      </w:r>
                    </w:p>
                  </w:txbxContent>
                </v:textbox>
                <w10:wrap type="tight"/>
              </v:shape>
            </w:pict>
          </mc:Fallback>
        </mc:AlternateContent>
      </w:r>
      <w:r w:rsidR="0097150A" w:rsidRPr="00DB7EE8">
        <w:rPr>
          <w:rFonts w:ascii="Times" w:hAnsi="Times"/>
        </w:rPr>
        <w:t>where</w:t>
      </w:r>
      <w:r w:rsidR="008B1876" w:rsidRPr="00DB7EE8">
        <w:rPr>
          <w:rFonts w:ascii="Times" w:hAnsi="Times"/>
        </w:rPr>
        <w:t xml:space="preserve"> </w:t>
      </w:r>
      <m:oMath>
        <m:r>
          <w:rPr>
            <w:rFonts w:ascii="Cambria Math" w:hAnsi="Cambria Math"/>
          </w:rPr>
          <m:t>β</m:t>
        </m:r>
      </m:oMath>
      <w:r w:rsidR="00F37665" w:rsidRPr="00DB7EE8">
        <w:rPr>
          <w:rFonts w:ascii="Times" w:hAnsi="Times"/>
        </w:rPr>
        <w:t xml:space="preserve"> </w:t>
      </w:r>
      <w:r w:rsidR="008B1876" w:rsidRPr="00DB7EE8">
        <w:rPr>
          <w:rFonts w:ascii="Times" w:hAnsi="Times"/>
        </w:rPr>
        <w:t>is the estimated average difference i</w:t>
      </w:r>
      <w:r w:rsidR="00BB532B" w:rsidRPr="00DB7EE8">
        <w:rPr>
          <w:rFonts w:ascii="Times" w:hAnsi="Times"/>
        </w:rPr>
        <w:t>n neighborhood median income between</w:t>
      </w:r>
      <w:r w:rsidR="008B1876" w:rsidRPr="00DB7EE8">
        <w:rPr>
          <w:rFonts w:ascii="Times" w:hAnsi="Times"/>
        </w:rPr>
        <w:t xml:space="preserve"> HarvardX registrants and members of the US population of the same age</w:t>
      </w:r>
      <w:r w:rsidR="00F37665" w:rsidRPr="00DB7EE8">
        <w:rPr>
          <w:rFonts w:ascii="Times" w:hAnsi="Times"/>
        </w:rPr>
        <w:t>.</w:t>
      </w:r>
      <w:r w:rsidR="0097150A" w:rsidRPr="00DB7EE8">
        <w:rPr>
          <w:rFonts w:ascii="Times" w:hAnsi="Times"/>
        </w:rPr>
        <w:t xml:space="preserve"> </w:t>
      </w:r>
      <m:oMath>
        <m:sSub>
          <m:sSubPr>
            <m:ctrlPr>
              <w:rPr>
                <w:rFonts w:ascii="Cambria Math" w:hAnsi="Cambria Math"/>
                <w:i/>
              </w:rPr>
            </m:ctrlPr>
          </m:sSubPr>
          <m:e>
            <m:r>
              <w:rPr>
                <w:rFonts w:ascii="Cambria Math" w:hAnsi="Cambria Math"/>
              </w:rPr>
              <m:t>δ</m:t>
            </m:r>
          </m:e>
          <m:sub>
            <m:r>
              <w:rPr>
                <w:rFonts w:ascii="Cambria Math" w:hAnsi="Cambria Math"/>
              </w:rPr>
              <m:t>j</m:t>
            </m:r>
          </m:sub>
        </m:sSub>
      </m:oMath>
      <w:r w:rsidR="0097150A" w:rsidRPr="00DB7EE8">
        <w:rPr>
          <w:rFonts w:ascii="Times" w:hAnsi="Times"/>
        </w:rPr>
        <w:t xml:space="preserve"> estimates the average difference in neighborhood income attributable for each age from 13-69</w:t>
      </w:r>
      <w:r w:rsidR="00F37665" w:rsidRPr="00DB7EE8">
        <w:rPr>
          <w:rFonts w:ascii="Times" w:hAnsi="Times"/>
        </w:rPr>
        <w:t xml:space="preserve"> (using a series of 57 dummy variables, one for each age)</w:t>
      </w:r>
      <w:r w:rsidR="0097150A" w:rsidRPr="00DB7EE8">
        <w:rPr>
          <w:rFonts w:ascii="Times" w:hAnsi="Times"/>
        </w:rPr>
        <w:t xml:space="preserve">, </w:t>
      </w:r>
      <m:oMath>
        <m:r>
          <w:rPr>
            <w:rFonts w:ascii="Cambria Math" w:hAnsi="Cambria Math"/>
          </w:rPr>
          <m:t>HX</m:t>
        </m:r>
      </m:oMath>
      <w:r w:rsidR="0097150A" w:rsidRPr="00DB7EE8">
        <w:rPr>
          <w:rFonts w:ascii="Times" w:hAnsi="Times"/>
        </w:rPr>
        <w:t xml:space="preserve"> is a dummy variable equal to 1 for HarvardX registrants (and 0 otherwise), and </w:t>
      </w:r>
      <m:oMath>
        <m:r>
          <w:rPr>
            <w:rFonts w:ascii="Cambria Math" w:hAnsi="Cambria Math"/>
          </w:rPr>
          <m:t>ϵ</m:t>
        </m:r>
      </m:oMath>
      <w:r w:rsidR="0097150A" w:rsidRPr="00DB7EE8">
        <w:rPr>
          <w:rFonts w:ascii="Times" w:hAnsi="Times"/>
        </w:rPr>
        <w:t xml:space="preserve"> is a random error term assumed to be normally distributed with mean 0.</w:t>
      </w:r>
      <w:r w:rsidR="00F37665" w:rsidRPr="00DB7EE8">
        <w:rPr>
          <w:rFonts w:ascii="Times" w:hAnsi="Times"/>
        </w:rPr>
        <w:t xml:space="preserve">  The coefficient of interest,</w:t>
      </w:r>
      <w:r w:rsidR="0097150A" w:rsidRPr="00DB7EE8">
        <w:rPr>
          <w:rFonts w:ascii="Times" w:hAnsi="Times"/>
        </w:rPr>
        <w:t xml:space="preserve"> </w:t>
      </w:r>
      <m:oMath>
        <m:r>
          <w:rPr>
            <w:rFonts w:ascii="Cambria Math" w:hAnsi="Cambria Math"/>
          </w:rPr>
          <m:t>β</m:t>
        </m:r>
      </m:oMath>
      <w:r w:rsidR="0097150A" w:rsidRPr="00DB7EE8">
        <w:rPr>
          <w:rFonts w:ascii="Times" w:hAnsi="Times"/>
        </w:rPr>
        <w:t xml:space="preserve">, </w:t>
      </w:r>
      <w:r w:rsidR="00F37665" w:rsidRPr="00DB7EE8">
        <w:rPr>
          <w:rFonts w:ascii="Times" w:hAnsi="Times"/>
        </w:rPr>
        <w:t>can be thought of as the weighted average</w:t>
      </w:r>
      <w:r w:rsidR="00930C41" w:rsidRPr="00DB7EE8">
        <w:rPr>
          <w:rFonts w:ascii="Times" w:hAnsi="Times"/>
        </w:rPr>
        <w:t xml:space="preserve"> </w:t>
      </w:r>
      <w:r w:rsidR="007827F9" w:rsidRPr="00DB7EE8">
        <w:rPr>
          <w:rFonts w:ascii="Times" w:hAnsi="Times"/>
        </w:rPr>
        <w:t xml:space="preserve">of </w:t>
      </w:r>
      <w:r w:rsidR="00930C41" w:rsidRPr="00DB7EE8">
        <w:rPr>
          <w:rFonts w:ascii="Times" w:hAnsi="Times"/>
        </w:rPr>
        <w:t>difference</w:t>
      </w:r>
      <w:r w:rsidR="007827F9" w:rsidRPr="00DB7EE8">
        <w:rPr>
          <w:rFonts w:ascii="Times" w:hAnsi="Times"/>
        </w:rPr>
        <w:t>s</w:t>
      </w:r>
      <w:r w:rsidR="00930C41" w:rsidRPr="00DB7EE8">
        <w:rPr>
          <w:rFonts w:ascii="Times" w:hAnsi="Times"/>
        </w:rPr>
        <w:t xml:space="preserve"> between each </w:t>
      </w:r>
      <w:r w:rsidR="009E2629">
        <w:rPr>
          <w:rFonts w:ascii="Times" w:hAnsi="Times"/>
        </w:rPr>
        <w:t>pair of</w:t>
      </w:r>
      <w:r w:rsidR="00756E72">
        <w:rPr>
          <w:rFonts w:ascii="Times" w:hAnsi="Times"/>
        </w:rPr>
        <w:t xml:space="preserve"> dot</w:t>
      </w:r>
      <w:r w:rsidR="009E2629">
        <w:rPr>
          <w:rFonts w:ascii="Times" w:hAnsi="Times"/>
        </w:rPr>
        <w:t>s</w:t>
      </w:r>
      <w:r w:rsidR="00756E72">
        <w:rPr>
          <w:rFonts w:ascii="Times" w:hAnsi="Times"/>
        </w:rPr>
        <w:t xml:space="preserve"> and triangle</w:t>
      </w:r>
      <w:r w:rsidR="009E2629">
        <w:rPr>
          <w:rFonts w:ascii="Times" w:hAnsi="Times"/>
        </w:rPr>
        <w:t>s</w:t>
      </w:r>
      <w:r w:rsidR="00E361CC">
        <w:rPr>
          <w:rFonts w:ascii="Times" w:hAnsi="Times"/>
        </w:rPr>
        <w:t xml:space="preserve"> in Figure 3</w:t>
      </w:r>
      <w:r w:rsidR="0097150A" w:rsidRPr="00DB7EE8">
        <w:rPr>
          <w:rFonts w:ascii="Times" w:hAnsi="Times"/>
        </w:rPr>
        <w:t xml:space="preserve">. Our estimate for </w:t>
      </w:r>
      <m:oMath>
        <m:r>
          <w:rPr>
            <w:rFonts w:ascii="Cambria Math" w:hAnsi="Cambria Math"/>
          </w:rPr>
          <m:t>β</m:t>
        </m:r>
      </m:oMath>
      <w:r w:rsidR="0097150A" w:rsidRPr="00DB7EE8">
        <w:rPr>
          <w:rFonts w:ascii="Times" w:hAnsi="Times"/>
        </w:rPr>
        <w:t xml:space="preserve"> is $14,009 (</w:t>
      </w:r>
      <w:r w:rsidR="0097150A" w:rsidRPr="00DB7EE8">
        <w:rPr>
          <w:rFonts w:ascii="Times" w:hAnsi="Times"/>
          <w:i/>
        </w:rPr>
        <w:t xml:space="preserve">p </w:t>
      </w:r>
      <w:r w:rsidR="0097150A" w:rsidRPr="00DB7EE8">
        <w:rPr>
          <w:rFonts w:ascii="Times" w:hAnsi="Times"/>
        </w:rPr>
        <w:t>&lt; .05)</w:t>
      </w:r>
      <w:r w:rsidR="0097150A" w:rsidRPr="00DB7EE8">
        <w:rPr>
          <w:rFonts w:ascii="Times" w:hAnsi="Times"/>
          <w:i/>
        </w:rPr>
        <w:t xml:space="preserve">, </w:t>
      </w:r>
      <w:r w:rsidR="0097150A" w:rsidRPr="00DB7EE8">
        <w:rPr>
          <w:rFonts w:ascii="Times" w:hAnsi="Times"/>
        </w:rPr>
        <w:t>with a 95% confidence interval of 13,727 to 14,291. This is approximately .46 standard deviations in terms of the unconditional standard deviation</w:t>
      </w:r>
      <w:r w:rsidR="002D7D7B" w:rsidRPr="00DB7EE8">
        <w:rPr>
          <w:rFonts w:ascii="Times" w:hAnsi="Times"/>
        </w:rPr>
        <w:t xml:space="preserve">, though </w:t>
      </w:r>
      <w:r w:rsidR="0097150A" w:rsidRPr="00DB7EE8">
        <w:rPr>
          <w:rFonts w:ascii="Times" w:hAnsi="Times"/>
        </w:rPr>
        <w:t>standard deviat</w:t>
      </w:r>
      <w:r w:rsidR="002D7D7B" w:rsidRPr="00DB7EE8">
        <w:rPr>
          <w:rFonts w:ascii="Times" w:hAnsi="Times"/>
        </w:rPr>
        <w:t xml:space="preserve">ion of neighborhood income </w:t>
      </w:r>
      <w:r w:rsidR="0097150A" w:rsidRPr="00DB7EE8">
        <w:rPr>
          <w:rFonts w:ascii="Times" w:hAnsi="Times"/>
        </w:rPr>
        <w:t>varies with age.</w:t>
      </w:r>
    </w:p>
    <w:p w14:paraId="4703F48E" w14:textId="05585A45" w:rsidR="00E039BA" w:rsidRPr="009F5BEB" w:rsidRDefault="001953C0" w:rsidP="00BA5FED">
      <w:pPr>
        <w:rPr>
          <w:rFonts w:ascii="Times" w:hAnsi="Times"/>
        </w:rPr>
      </w:pPr>
      <w:r>
        <w:rPr>
          <w:noProof/>
        </w:rPr>
        <mc:AlternateContent>
          <mc:Choice Requires="wps">
            <w:drawing>
              <wp:anchor distT="0" distB="0" distL="114300" distR="114300" simplePos="0" relativeHeight="251667456" behindDoc="0" locked="0" layoutInCell="1" allowOverlap="1" wp14:anchorId="6E8C90E7" wp14:editId="0DFB1D09">
                <wp:simplePos x="0" y="0"/>
                <wp:positionH relativeFrom="column">
                  <wp:posOffset>0</wp:posOffset>
                </wp:positionH>
                <wp:positionV relativeFrom="paragraph">
                  <wp:posOffset>-5775960</wp:posOffset>
                </wp:positionV>
                <wp:extent cx="3086100" cy="571500"/>
                <wp:effectExtent l="0" t="0" r="0" b="0"/>
                <wp:wrapTight wrapText="bothSides">
                  <wp:wrapPolygon edited="0">
                    <wp:start x="178" y="960"/>
                    <wp:lineTo x="178" y="19200"/>
                    <wp:lineTo x="21156" y="19200"/>
                    <wp:lineTo x="21156" y="960"/>
                    <wp:lineTo x="178" y="96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49C35" w14:textId="1BB0C431" w:rsidR="00D50343" w:rsidRPr="00520586" w:rsidRDefault="00D50343" w:rsidP="00FA45F0">
                            <w:pPr>
                              <w:jc w:val="center"/>
                              <w:rPr>
                                <w:b/>
                                <w:sz w:val="18"/>
                                <w:szCs w:val="18"/>
                              </w:rPr>
                            </w:pPr>
                            <w:r>
                              <w:rPr>
                                <w:b/>
                                <w:sz w:val="18"/>
                                <w:szCs w:val="18"/>
                              </w:rPr>
                              <w:t>Figure 3</w:t>
                            </w:r>
                            <w:r w:rsidRPr="00520586">
                              <w:rPr>
                                <w:b/>
                                <w:sz w:val="18"/>
                                <w:szCs w:val="18"/>
                              </w:rPr>
                              <w:t xml:space="preserve">: </w:t>
                            </w:r>
                            <w:r>
                              <w:rPr>
                                <w:b/>
                                <w:sz w:val="18"/>
                                <w:szCs w:val="18"/>
                              </w:rPr>
                              <w:t>Average census block group median income by age for all U.S. non-institutionalized residents and 2013-2014 HarvardX registrants.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454.75pt;width:24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" filled="f" stroked="f">
                <v:textbox inset=",7.2pt,,7.2pt">
                  <w:txbxContent>
                    <w:p w14:paraId="6FF49C35" w14:textId="1BB0C431" w:rsidR="00D50343" w:rsidRPr="00520586" w:rsidRDefault="00D50343" w:rsidP="00FA45F0">
                      <w:pPr>
                        <w:jc w:val="center"/>
                        <w:rPr>
                          <w:b/>
                          <w:sz w:val="18"/>
                          <w:szCs w:val="18"/>
                        </w:rPr>
                      </w:pPr>
                      <w:r>
                        <w:rPr>
                          <w:b/>
                          <w:sz w:val="18"/>
                          <w:szCs w:val="18"/>
                        </w:rPr>
                        <w:t>Figure 3</w:t>
                      </w:r>
                      <w:r w:rsidRPr="00520586">
                        <w:rPr>
                          <w:b/>
                          <w:sz w:val="18"/>
                          <w:szCs w:val="18"/>
                        </w:rPr>
                        <w:t xml:space="preserve">: </w:t>
                      </w:r>
                      <w:r>
                        <w:rPr>
                          <w:b/>
                          <w:sz w:val="18"/>
                          <w:szCs w:val="18"/>
                        </w:rPr>
                        <w:t>Average census block group median income by age for all U.S. non-institutionalized residents and 2013-2014 HarvardX registrants.</w:t>
                      </w:r>
                    </w:p>
                  </w:txbxContent>
                </v:textbox>
                <w10:wrap type="tight"/>
              </v:shape>
            </w:pict>
          </mc:Fallback>
        </mc:AlternateContent>
      </w:r>
      <w:r w:rsidR="001F484D" w:rsidRPr="00DB7EE8">
        <w:rPr>
          <w:rFonts w:ascii="Times" w:hAnsi="Times"/>
        </w:rPr>
        <w:t>Taken together, these</w:t>
      </w:r>
      <w:r w:rsidR="00BA6007" w:rsidRPr="00DB7EE8">
        <w:rPr>
          <w:rFonts w:ascii="Times" w:hAnsi="Times"/>
        </w:rPr>
        <w:t xml:space="preserve"> three methods—average difference in median zip code income, average difference in median census block income, and average difference in median census block income controlling for age—</w:t>
      </w:r>
      <w:r w:rsidR="0097150A" w:rsidRPr="00DB7EE8">
        <w:rPr>
          <w:rFonts w:ascii="Times" w:hAnsi="Times"/>
        </w:rPr>
        <w:t xml:space="preserve">suggest that HarvardX registrants live in neighborhoods with median incomes almost one-half of a standard deviation higher than the general U.S. public. Our estimates speak to the general efficacy of deriving demographic data from self-reported addresses, and this approach can easily be extended to include other demographic data published at the “neighborhood” level. Considering the interest in identity verification in MOOCs, it’s plausible that address will remain an accessible and useful </w:t>
      </w:r>
      <w:r w:rsidR="00DB7EE8" w:rsidRPr="00DB7EE8">
        <w:rPr>
          <w:rFonts w:ascii="Times" w:hAnsi="Times"/>
        </w:rPr>
        <w:t>SES measure</w:t>
      </w:r>
      <w:r w:rsidR="0097150A" w:rsidRPr="00DB7EE8">
        <w:rPr>
          <w:rFonts w:ascii="Times" w:hAnsi="Times"/>
        </w:rPr>
        <w:t xml:space="preserve"> for researchers in the future</w:t>
      </w:r>
      <w:r w:rsidR="003E6615" w:rsidRPr="00DB7EE8">
        <w:rPr>
          <w:rFonts w:ascii="Times" w:hAnsi="Times"/>
        </w:rPr>
        <w:t xml:space="preserve">, especially if </w:t>
      </w:r>
      <w:r w:rsidR="00DB7EE8" w:rsidRPr="00DB7EE8">
        <w:rPr>
          <w:rFonts w:ascii="Times" w:hAnsi="Times"/>
        </w:rPr>
        <w:t xml:space="preserve">trends in </w:t>
      </w:r>
      <w:r w:rsidR="003E6615" w:rsidRPr="00DB7EE8">
        <w:rPr>
          <w:rFonts w:ascii="Times" w:hAnsi="Times"/>
        </w:rPr>
        <w:t xml:space="preserve">U.S. residential segregation by income </w:t>
      </w:r>
      <w:r w:rsidR="009F5BEB">
        <w:rPr>
          <w:rFonts w:ascii="Times" w:hAnsi="Times"/>
        </w:rPr>
        <w:fldChar w:fldCharType="begin"/>
      </w:r>
      <w:r w:rsidR="009F5BEB">
        <w:rPr>
          <w:rFonts w:ascii="Times" w:hAnsi="Times"/>
        </w:rPr>
        <w:instrText>ADDIN RW.CITE{{900 Watson, Tara 2009}}</w:instrText>
      </w:r>
      <w:r w:rsidR="009F5BEB">
        <w:rPr>
          <w:rFonts w:ascii="Times" w:hAnsi="Times"/>
        </w:rPr>
        <w:fldChar w:fldCharType="separate"/>
      </w:r>
      <w:r w:rsidR="00EB4696" w:rsidRPr="00EB4696">
        <w:rPr>
          <w:rFonts w:ascii="Times" w:hAnsi="Times"/>
        </w:rPr>
        <w:t>[17]</w:t>
      </w:r>
      <w:r w:rsidR="009F5BEB">
        <w:rPr>
          <w:rFonts w:ascii="Times" w:hAnsi="Times"/>
        </w:rPr>
        <w:fldChar w:fldCharType="end"/>
      </w:r>
      <w:r w:rsidR="00DB7EE8" w:rsidRPr="00DB7EE8">
        <w:rPr>
          <w:rFonts w:ascii="Times" w:hAnsi="Times"/>
        </w:rPr>
        <w:t xml:space="preserve"> continue</w:t>
      </w:r>
      <w:r w:rsidR="003E6615" w:rsidRPr="00DB7EE8">
        <w:rPr>
          <w:rFonts w:ascii="Times" w:hAnsi="Times"/>
        </w:rPr>
        <w:t xml:space="preserve"> to rise</w:t>
      </w:r>
      <w:r w:rsidR="0097150A" w:rsidRPr="00DB7EE8">
        <w:rPr>
          <w:rFonts w:ascii="Times" w:hAnsi="Times"/>
        </w:rPr>
        <w:t xml:space="preserve">. </w:t>
      </w:r>
    </w:p>
    <w:p w14:paraId="5E56260E" w14:textId="5659F90A" w:rsidR="00BA5FED" w:rsidRPr="00DB7EE8" w:rsidRDefault="00E361CC" w:rsidP="00BA5FED">
      <w:pPr>
        <w:rPr>
          <w:rFonts w:ascii="Times" w:hAnsi="Times"/>
          <w:b/>
        </w:rPr>
      </w:pPr>
      <w:r>
        <w:rPr>
          <w:rFonts w:ascii="Times" w:hAnsi="Times"/>
          <w:b/>
        </w:rPr>
        <w:t xml:space="preserve">5. </w:t>
      </w:r>
      <w:r w:rsidR="00BA5FED" w:rsidRPr="00DB7EE8">
        <w:rPr>
          <w:rFonts w:ascii="Times" w:hAnsi="Times"/>
          <w:b/>
        </w:rPr>
        <w:t>COMPARING PARENTAL EDUCATION AND ADDRESSING MISSING DATA</w:t>
      </w:r>
    </w:p>
    <w:p w14:paraId="60F8E6A3" w14:textId="3E051C58" w:rsidR="00A13E4A" w:rsidRPr="00DB7EE8" w:rsidRDefault="00BA5FED" w:rsidP="00BA5FED">
      <w:pPr>
        <w:rPr>
          <w:rFonts w:ascii="Times" w:hAnsi="Times"/>
        </w:rPr>
      </w:pPr>
      <w:r w:rsidRPr="00DB7EE8">
        <w:rPr>
          <w:rFonts w:ascii="Times" w:hAnsi="Times"/>
        </w:rPr>
        <w:t>To continue to develop our comparison of SES measures of HarvardX registrants and the U.S. population, we next examine the distributions of parental educational attainment</w:t>
      </w:r>
      <w:r w:rsidR="00FB1BDA">
        <w:rPr>
          <w:rFonts w:ascii="Times" w:hAnsi="Times"/>
        </w:rPr>
        <w:t>. Here we focus</w:t>
      </w:r>
      <w:r w:rsidR="00A13E4A" w:rsidRPr="00DB7EE8">
        <w:rPr>
          <w:rFonts w:ascii="Times" w:hAnsi="Times"/>
        </w:rPr>
        <w:t xml:space="preserve"> primarily on the distribution of adolescent registrants for HarvardX</w:t>
      </w:r>
      <w:r w:rsidR="00203DBE" w:rsidRPr="00DB7EE8">
        <w:rPr>
          <w:rFonts w:ascii="Times" w:hAnsi="Times"/>
        </w:rPr>
        <w:t xml:space="preserve">. </w:t>
      </w:r>
      <w:r w:rsidRPr="00DB7EE8">
        <w:rPr>
          <w:rFonts w:ascii="Times" w:hAnsi="Times"/>
        </w:rPr>
        <w:t>Recall that we obtain self-reported data of attainment levels from s</w:t>
      </w:r>
      <w:r w:rsidR="009D0830" w:rsidRPr="00DB7EE8">
        <w:rPr>
          <w:rFonts w:ascii="Times" w:hAnsi="Times"/>
        </w:rPr>
        <w:t>urvey</w:t>
      </w:r>
      <w:r w:rsidRPr="00DB7EE8">
        <w:rPr>
          <w:rFonts w:ascii="Times" w:hAnsi="Times"/>
        </w:rPr>
        <w:t>s disseminated after course registration, and</w:t>
      </w:r>
      <w:r w:rsidR="000D27DB" w:rsidRPr="00DB7EE8">
        <w:rPr>
          <w:rFonts w:ascii="Times" w:hAnsi="Times"/>
        </w:rPr>
        <w:t xml:space="preserve"> we can compare these with U.S. characteristics </w:t>
      </w:r>
      <w:r w:rsidR="00FB1BDA">
        <w:rPr>
          <w:rFonts w:ascii="Times" w:hAnsi="Times"/>
        </w:rPr>
        <w:t>obtained</w:t>
      </w:r>
      <w:r w:rsidRPr="00DB7EE8">
        <w:rPr>
          <w:rFonts w:ascii="Times" w:hAnsi="Times"/>
        </w:rPr>
        <w:t xml:space="preserve"> from the American Community Survey.</w:t>
      </w:r>
      <w:r w:rsidR="00A13E4A" w:rsidRPr="00DB7EE8">
        <w:rPr>
          <w:rFonts w:ascii="Times" w:hAnsi="Times"/>
        </w:rPr>
        <w:t xml:space="preserve"> </w:t>
      </w:r>
      <w:r w:rsidR="00A13E4A" w:rsidRPr="00103B0D">
        <w:rPr>
          <w:rFonts w:ascii="Times" w:hAnsi="Times"/>
        </w:rPr>
        <w:t xml:space="preserve">We focus on adolescents in our HarvardX/U.S. comparisons </w:t>
      </w:r>
      <w:r w:rsidR="00103B0D">
        <w:rPr>
          <w:rFonts w:ascii="Times" w:hAnsi="Times"/>
        </w:rPr>
        <w:t>for two reasons: first,</w:t>
      </w:r>
      <w:r w:rsidR="0096657A" w:rsidRPr="00103B0D">
        <w:rPr>
          <w:rFonts w:ascii="Times" w:hAnsi="Times"/>
        </w:rPr>
        <w:t xml:space="preserve"> this is an</w:t>
      </w:r>
      <w:r w:rsidR="00A13E4A" w:rsidRPr="00103B0D">
        <w:rPr>
          <w:rFonts w:ascii="Times" w:hAnsi="Times"/>
        </w:rPr>
        <w:t xml:space="preserve"> age grou</w:t>
      </w:r>
      <w:r w:rsidR="0096657A" w:rsidRPr="00103B0D">
        <w:rPr>
          <w:rFonts w:ascii="Times" w:hAnsi="Times"/>
        </w:rPr>
        <w:t>p where parent education is</w:t>
      </w:r>
      <w:r w:rsidR="00A13E4A" w:rsidRPr="00103B0D">
        <w:rPr>
          <w:rFonts w:ascii="Times" w:hAnsi="Times"/>
        </w:rPr>
        <w:t xml:space="preserve"> clearly established in the literature as an important measure of SES</w:t>
      </w:r>
      <w:r w:rsidR="0096657A" w:rsidRPr="00103B0D">
        <w:rPr>
          <w:rFonts w:ascii="Times" w:hAnsi="Times"/>
        </w:rPr>
        <w:t xml:space="preserve"> [11</w:t>
      </w:r>
      <w:r w:rsidR="00AA6147" w:rsidRPr="00103B0D">
        <w:rPr>
          <w:rFonts w:ascii="Times" w:hAnsi="Times"/>
        </w:rPr>
        <w:t>]</w:t>
      </w:r>
      <w:r w:rsidR="00103B0D">
        <w:rPr>
          <w:rFonts w:ascii="Times" w:hAnsi="Times"/>
        </w:rPr>
        <w:t>, and second,</w:t>
      </w:r>
      <w:r w:rsidR="00A13E4A" w:rsidRPr="00103B0D">
        <w:rPr>
          <w:rFonts w:ascii="Times" w:hAnsi="Times"/>
        </w:rPr>
        <w:t xml:space="preserve"> the collection of</w:t>
      </w:r>
      <w:r w:rsidR="00C731DB" w:rsidRPr="00103B0D">
        <w:rPr>
          <w:rFonts w:ascii="Times" w:hAnsi="Times"/>
        </w:rPr>
        <w:t xml:space="preserve"> ACS data on parent education becomes less</w:t>
      </w:r>
      <w:r w:rsidR="00A13E4A" w:rsidRPr="00103B0D">
        <w:rPr>
          <w:rFonts w:ascii="Times" w:hAnsi="Times"/>
        </w:rPr>
        <w:t xml:space="preserve"> reliable </w:t>
      </w:r>
      <w:r w:rsidR="00C731DB" w:rsidRPr="00103B0D">
        <w:rPr>
          <w:rFonts w:ascii="Times" w:hAnsi="Times"/>
        </w:rPr>
        <w:t>for individuals older than seventeen</w:t>
      </w:r>
      <w:r w:rsidR="0040485D" w:rsidRPr="00103B0D">
        <w:rPr>
          <w:rFonts w:ascii="Times" w:hAnsi="Times"/>
        </w:rPr>
        <w:t>, since it is only gleaned from households where children live with their parents</w:t>
      </w:r>
      <w:r w:rsidR="00EB4696">
        <w:rPr>
          <w:rFonts w:ascii="Times" w:hAnsi="Times"/>
        </w:rPr>
        <w:t xml:space="preserve"> </w:t>
      </w:r>
      <w:r w:rsidR="00EB4696">
        <w:rPr>
          <w:rFonts w:ascii="Times" w:hAnsi="Times"/>
        </w:rPr>
        <w:fldChar w:fldCharType="begin"/>
      </w:r>
      <w:r w:rsidR="00EB4696">
        <w:rPr>
          <w:rFonts w:ascii="Times" w:hAnsi="Times"/>
        </w:rPr>
        <w:instrText>ADDIN RW.CITE{{904 U.S. Census Bureau 2013}}</w:instrText>
      </w:r>
      <w:r w:rsidR="00EB4696">
        <w:rPr>
          <w:rFonts w:ascii="Times" w:hAnsi="Times"/>
        </w:rPr>
        <w:fldChar w:fldCharType="separate"/>
      </w:r>
      <w:r w:rsidR="00EB4696" w:rsidRPr="00EB4696">
        <w:rPr>
          <w:rFonts w:ascii="Times" w:hAnsi="Times"/>
        </w:rPr>
        <w:t>[13]</w:t>
      </w:r>
      <w:r w:rsidR="00EB4696">
        <w:rPr>
          <w:rFonts w:ascii="Times" w:hAnsi="Times"/>
        </w:rPr>
        <w:fldChar w:fldCharType="end"/>
      </w:r>
      <w:r w:rsidR="00C731DB" w:rsidRPr="00103B0D">
        <w:rPr>
          <w:rFonts w:ascii="Times" w:hAnsi="Times"/>
        </w:rPr>
        <w:t xml:space="preserve">. </w:t>
      </w:r>
      <w:r w:rsidR="006D2391" w:rsidRPr="00103B0D">
        <w:rPr>
          <w:rFonts w:ascii="Times" w:hAnsi="Times"/>
        </w:rPr>
        <w:t xml:space="preserve">Following </w:t>
      </w:r>
      <w:r w:rsidR="00103B0D" w:rsidRPr="00103B0D">
        <w:rPr>
          <w:rFonts w:ascii="Times" w:hAnsi="Times"/>
        </w:rPr>
        <w:t xml:space="preserve">a common convention [11], </w:t>
      </w:r>
      <w:r w:rsidRPr="00103B0D">
        <w:rPr>
          <w:rFonts w:ascii="Times" w:hAnsi="Times"/>
        </w:rPr>
        <w:t>we</w:t>
      </w:r>
      <w:r w:rsidRPr="00DB7EE8">
        <w:rPr>
          <w:rFonts w:ascii="Times" w:hAnsi="Times"/>
        </w:rPr>
        <w:t xml:space="preserve"> define parental educational attainment as the highest degree attained for one’s most educated parent.</w:t>
      </w:r>
      <w:r w:rsidR="00103B0D">
        <w:rPr>
          <w:rFonts w:ascii="Times" w:hAnsi="Times"/>
        </w:rPr>
        <w:t xml:space="preserve"> </w:t>
      </w:r>
      <w:r w:rsidR="00203DBE" w:rsidRPr="00DB7EE8">
        <w:rPr>
          <w:rFonts w:ascii="Times" w:hAnsi="Times"/>
        </w:rPr>
        <w:t>Figure 4 compares the parent</w:t>
      </w:r>
      <w:r w:rsidR="00103B0D">
        <w:rPr>
          <w:rFonts w:ascii="Times" w:hAnsi="Times"/>
        </w:rPr>
        <w:t>al</w:t>
      </w:r>
      <w:r w:rsidR="00FB1BDA">
        <w:rPr>
          <w:rFonts w:ascii="Times" w:hAnsi="Times"/>
        </w:rPr>
        <w:t xml:space="preserve"> education</w:t>
      </w:r>
      <w:r w:rsidR="00103B0D">
        <w:rPr>
          <w:rFonts w:ascii="Times" w:hAnsi="Times"/>
        </w:rPr>
        <w:t xml:space="preserve"> attainment </w:t>
      </w:r>
      <w:r w:rsidR="00203DBE" w:rsidRPr="00DB7EE8">
        <w:rPr>
          <w:rFonts w:ascii="Times" w:hAnsi="Times"/>
        </w:rPr>
        <w:t>levels for HarvardX registrants and the US population as computed from the</w:t>
      </w:r>
      <w:r w:rsidR="00103B0D">
        <w:rPr>
          <w:rFonts w:ascii="Times" w:hAnsi="Times"/>
        </w:rPr>
        <w:t xml:space="preserve"> ACS</w:t>
      </w:r>
      <w:r w:rsidR="00203DBE" w:rsidRPr="00DB7EE8">
        <w:rPr>
          <w:rFonts w:ascii="Times" w:hAnsi="Times"/>
        </w:rPr>
        <w:t xml:space="preserve">. Figure 4 shows that </w:t>
      </w:r>
      <w:r w:rsidR="00BB5782" w:rsidRPr="00DB7EE8">
        <w:rPr>
          <w:rFonts w:ascii="Times" w:hAnsi="Times"/>
        </w:rPr>
        <w:t xml:space="preserve">adolescent </w:t>
      </w:r>
      <w:r w:rsidR="00203DBE" w:rsidRPr="00DB7EE8">
        <w:rPr>
          <w:rFonts w:ascii="Times" w:hAnsi="Times"/>
        </w:rPr>
        <w:t>HarvardX registrants</w:t>
      </w:r>
      <w:r w:rsidR="00BB5782" w:rsidRPr="00DB7EE8">
        <w:rPr>
          <w:rFonts w:ascii="Times" w:hAnsi="Times"/>
        </w:rPr>
        <w:t xml:space="preserve"> tend to report</w:t>
      </w:r>
      <w:r w:rsidR="00203DBE" w:rsidRPr="00DB7EE8">
        <w:rPr>
          <w:rFonts w:ascii="Times" w:hAnsi="Times"/>
        </w:rPr>
        <w:t xml:space="preserve"> </w:t>
      </w:r>
      <w:r w:rsidR="00BB5782" w:rsidRPr="00DB7EE8">
        <w:rPr>
          <w:rFonts w:ascii="Times" w:hAnsi="Times"/>
        </w:rPr>
        <w:t xml:space="preserve">higher levels of </w:t>
      </w:r>
      <w:r w:rsidR="00203DBE" w:rsidRPr="00DB7EE8">
        <w:rPr>
          <w:rFonts w:ascii="Times" w:hAnsi="Times"/>
        </w:rPr>
        <w:t>parent</w:t>
      </w:r>
      <w:r w:rsidR="00BB5782" w:rsidRPr="00DB7EE8">
        <w:rPr>
          <w:rFonts w:ascii="Times" w:hAnsi="Times"/>
        </w:rPr>
        <w:t>al educational attainment than typical adolescents in</w:t>
      </w:r>
      <w:r w:rsidR="00203DBE" w:rsidRPr="00DB7EE8">
        <w:rPr>
          <w:rFonts w:ascii="Times" w:hAnsi="Times"/>
        </w:rPr>
        <w:t xml:space="preserve"> the US. </w:t>
      </w:r>
      <w:r w:rsidRPr="00DB7EE8">
        <w:rPr>
          <w:rFonts w:ascii="Times" w:hAnsi="Times"/>
        </w:rPr>
        <w:t xml:space="preserve">While the modal value for the US is high school completion, the modal value for HarvardX registrants is a graduate degree. </w:t>
      </w:r>
    </w:p>
    <w:p w14:paraId="641AE028" w14:textId="2C109E99" w:rsidR="00BA5FED" w:rsidRPr="00DB7EE8" w:rsidRDefault="00BA5FED" w:rsidP="00BA5FED">
      <w:pPr>
        <w:rPr>
          <w:rFonts w:ascii="Times" w:hAnsi="Times"/>
        </w:rPr>
      </w:pPr>
      <w:r w:rsidRPr="00DB7EE8">
        <w:rPr>
          <w:rFonts w:ascii="Times" w:hAnsi="Times"/>
        </w:rPr>
        <w:t xml:space="preserve">One potential concern with these </w:t>
      </w:r>
      <w:r w:rsidR="000D27DB" w:rsidRPr="00DB7EE8">
        <w:rPr>
          <w:rFonts w:ascii="Times" w:hAnsi="Times"/>
        </w:rPr>
        <w:t xml:space="preserve">HarvardX </w:t>
      </w:r>
      <w:r w:rsidRPr="00DB7EE8">
        <w:rPr>
          <w:rFonts w:ascii="Times" w:hAnsi="Times"/>
        </w:rPr>
        <w:t>data is response bias</w:t>
      </w:r>
      <w:r w:rsidR="000D27DB" w:rsidRPr="00DB7EE8">
        <w:rPr>
          <w:rFonts w:ascii="Times" w:hAnsi="Times"/>
        </w:rPr>
        <w:t>. Since onl</w:t>
      </w:r>
      <w:r w:rsidR="00E756DB">
        <w:rPr>
          <w:rFonts w:ascii="Times" w:hAnsi="Times"/>
        </w:rPr>
        <w:t>y 34</w:t>
      </w:r>
      <w:r w:rsidR="00253E97" w:rsidRPr="00DB7EE8">
        <w:rPr>
          <w:rFonts w:ascii="Times" w:hAnsi="Times"/>
        </w:rPr>
        <w:t xml:space="preserve">% of registrants provided their parent’s education, </w:t>
      </w:r>
      <w:r w:rsidRPr="00DB7EE8">
        <w:rPr>
          <w:rFonts w:ascii="Times" w:hAnsi="Times"/>
        </w:rPr>
        <w:t xml:space="preserve">survey respondents and non-respondents systematically </w:t>
      </w:r>
      <w:r w:rsidR="00253E97" w:rsidRPr="00DB7EE8">
        <w:rPr>
          <w:rFonts w:ascii="Times" w:hAnsi="Times"/>
        </w:rPr>
        <w:t xml:space="preserve">may </w:t>
      </w:r>
      <w:r w:rsidRPr="00DB7EE8">
        <w:rPr>
          <w:rFonts w:ascii="Times" w:hAnsi="Times"/>
        </w:rPr>
        <w:t xml:space="preserve">differ. However, another asset of using these external data sources is that we can test for evidence of response bias. </w:t>
      </w:r>
      <w:r w:rsidR="00253E97" w:rsidRPr="00DB7EE8">
        <w:rPr>
          <w:rFonts w:ascii="Times" w:hAnsi="Times"/>
        </w:rPr>
        <w:t xml:space="preserve">Since we have more complete data for HarvardX </w:t>
      </w:r>
      <w:r w:rsidR="00A85560" w:rsidRPr="00DB7EE8">
        <w:rPr>
          <w:rFonts w:ascii="Times" w:hAnsi="Times"/>
        </w:rPr>
        <w:t>neighborhood median income</w:t>
      </w:r>
      <w:r w:rsidR="00BB5782" w:rsidRPr="00DB7EE8">
        <w:rPr>
          <w:rFonts w:ascii="Times" w:hAnsi="Times"/>
        </w:rPr>
        <w:t xml:space="preserve"> than parental education</w:t>
      </w:r>
      <w:r w:rsidRPr="00DB7EE8">
        <w:rPr>
          <w:rFonts w:ascii="Times" w:hAnsi="Times"/>
        </w:rPr>
        <w:t>, we can exploit the relationship between neighborhood household income and parent education</w:t>
      </w:r>
      <w:r w:rsidR="00A85560" w:rsidRPr="00DB7EE8">
        <w:rPr>
          <w:rFonts w:ascii="Times" w:hAnsi="Times"/>
        </w:rPr>
        <w:t xml:space="preserve"> </w:t>
      </w:r>
      <w:r w:rsidRPr="00DB7EE8">
        <w:rPr>
          <w:rFonts w:ascii="Times" w:hAnsi="Times"/>
        </w:rPr>
        <w:t>to test the null hypothesis that</w:t>
      </w:r>
      <w:r w:rsidR="00BB5782" w:rsidRPr="00DB7EE8">
        <w:rPr>
          <w:rFonts w:ascii="Times" w:hAnsi="Times"/>
        </w:rPr>
        <w:t>, among HarvardX registrants reporting a parsable address,</w:t>
      </w:r>
      <w:r w:rsidRPr="00DB7EE8">
        <w:rPr>
          <w:rFonts w:ascii="Times" w:hAnsi="Times"/>
        </w:rPr>
        <w:t xml:space="preserve"> neighborhood median income is the same for individuals who did and did not respond to the parent education survey item. In order to take into account the relationship between neighborhood me</w:t>
      </w:r>
      <w:r w:rsidR="00FB1BDA">
        <w:rPr>
          <w:rFonts w:ascii="Times" w:hAnsi="Times"/>
        </w:rPr>
        <w:t>dian income and age, we test this</w:t>
      </w:r>
      <w:r w:rsidRPr="00DB7EE8">
        <w:rPr>
          <w:rFonts w:ascii="Times" w:hAnsi="Times"/>
        </w:rPr>
        <w:t xml:space="preserve"> hypothesis by regressing census block group median income on dummy variables for age and a dummy variable equal to 1 for registrants not reporting parent education. </w:t>
      </w:r>
      <w:r w:rsidR="00D80F1A" w:rsidRPr="00DB7EE8">
        <w:rPr>
          <w:rFonts w:ascii="Times" w:hAnsi="Times"/>
        </w:rPr>
        <w:t xml:space="preserve">In this case, we are interested in comparing one subset of HarvardX registrants to another subset of HarvardX registrants, rather than comparing HarvardX registrants to the U.S. population. We fit this model twice; first, we look at </w:t>
      </w:r>
      <w:r w:rsidR="00AA6147" w:rsidRPr="00DB7EE8">
        <w:rPr>
          <w:rFonts w:ascii="Times" w:hAnsi="Times"/>
        </w:rPr>
        <w:t xml:space="preserve">13-17 year-old </w:t>
      </w:r>
      <w:r w:rsidR="00D80F1A" w:rsidRPr="00DB7EE8">
        <w:rPr>
          <w:rFonts w:ascii="Times" w:hAnsi="Times"/>
        </w:rPr>
        <w:t xml:space="preserve">HarvardX registrants, and second we fit an analogous model </w:t>
      </w:r>
      <w:r w:rsidR="00AA6147" w:rsidRPr="00DB7EE8">
        <w:rPr>
          <w:rFonts w:ascii="Times" w:hAnsi="Times"/>
        </w:rPr>
        <w:t>on all HarvardX registrants for whom we have neighborhood income data</w:t>
      </w:r>
      <w:r w:rsidR="00D80F1A" w:rsidRPr="00DB7EE8">
        <w:rPr>
          <w:rFonts w:ascii="Times" w:hAnsi="Times"/>
        </w:rPr>
        <w:t xml:space="preserve">. </w:t>
      </w:r>
      <w:r w:rsidRPr="00DB7EE8">
        <w:rPr>
          <w:rFonts w:ascii="Times" w:hAnsi="Times"/>
        </w:rPr>
        <w:t xml:space="preserve">Specifically, </w:t>
      </w:r>
      <w:r w:rsidR="00D80F1A" w:rsidRPr="00DB7EE8">
        <w:rPr>
          <w:rFonts w:ascii="Times" w:hAnsi="Times"/>
        </w:rPr>
        <w:t xml:space="preserve">first, </w:t>
      </w:r>
      <w:r w:rsidRPr="00DB7EE8">
        <w:rPr>
          <w:rFonts w:ascii="Times" w:hAnsi="Times"/>
        </w:rPr>
        <w:t>we fit the following model on</w:t>
      </w:r>
      <w:r w:rsidR="00AA6147" w:rsidRPr="00DB7EE8">
        <w:rPr>
          <w:rFonts w:ascii="Times" w:hAnsi="Times"/>
        </w:rPr>
        <w:t xml:space="preserve"> </w:t>
      </w:r>
      <w:r w:rsidR="0027516F" w:rsidRPr="00DB7EE8">
        <w:rPr>
          <w:rFonts w:ascii="Times" w:hAnsi="Times"/>
        </w:rPr>
        <w:t>the 864 13-17 year-old HarvardX registrants for whom we have an estimate for the median household income in their neighborhood</w:t>
      </w:r>
      <w:r w:rsidRPr="00DB7EE8">
        <w:rPr>
          <w:rFonts w:ascii="Times" w:hAnsi="Times"/>
        </w:rPr>
        <w:t xml:space="preserve">: </w:t>
      </w:r>
    </w:p>
    <w:p w14:paraId="76164D6C" w14:textId="0DE28309" w:rsidR="00BA5FED" w:rsidRPr="00DB7EE8" w:rsidRDefault="004C0B2C" w:rsidP="00BA5FED">
      <w:pPr>
        <w:jc w:val="center"/>
        <w:rPr>
          <w:rFonts w:ascii="Times" w:hAnsi="Times"/>
          <w:sz w:val="18"/>
          <w:szCs w:val="18"/>
        </w:rPr>
      </w:pPr>
      <m:oMath>
        <m:sSub>
          <m:sSubPr>
            <m:ctrlPr>
              <w:rPr>
                <w:rFonts w:ascii="Cambria Math" w:hAnsi="Cambria Math"/>
                <w:i/>
                <w:sz w:val="18"/>
                <w:szCs w:val="18"/>
              </w:rPr>
            </m:ctrlPr>
          </m:sSubPr>
          <m:e>
            <m:r>
              <w:rPr>
                <w:rFonts w:ascii="Cambria Math" w:hAnsi="Cambria Math"/>
                <w:sz w:val="18"/>
                <w:szCs w:val="18"/>
              </w:rPr>
              <m:t>med_hinc</m:t>
            </m:r>
          </m:e>
          <m:sub>
            <m:r>
              <w:rPr>
                <w:rFonts w:ascii="Cambria Math" w:hAnsi="Cambria Math"/>
                <w:sz w:val="18"/>
                <w:szCs w:val="18"/>
              </w:rPr>
              <m:t>ij</m:t>
            </m:r>
          </m:sub>
        </m:sSub>
        <m:r>
          <w:rPr>
            <w:rFonts w:ascii="Cambria Math" w:hAnsi="Cambria Math"/>
            <w:sz w:val="18"/>
            <w:szCs w:val="18"/>
          </w:rPr>
          <m:t>=β</m:t>
        </m:r>
        <m:d>
          <m:dPr>
            <m:ctrlPr>
              <w:rPr>
                <w:rFonts w:ascii="Cambria Math" w:hAnsi="Cambria Math"/>
                <w:i/>
                <w:sz w:val="18"/>
                <w:szCs w:val="18"/>
              </w:rPr>
            </m:ctrlPr>
          </m:dPr>
          <m:e>
            <m:r>
              <w:rPr>
                <w:rFonts w:ascii="Cambria Math" w:hAnsi="Cambria Math"/>
                <w:sz w:val="18"/>
                <w:szCs w:val="18"/>
              </w:rPr>
              <m:t>missing_pe</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i</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ϵ</m:t>
            </m:r>
          </m:e>
          <m:sub>
            <m:r>
              <w:rPr>
                <w:rFonts w:ascii="Cambria Math" w:hAnsi="Cambria Math"/>
                <w:sz w:val="18"/>
                <w:szCs w:val="18"/>
              </w:rPr>
              <m:t>i</m:t>
            </m:r>
          </m:sub>
        </m:sSub>
      </m:oMath>
      <w:r w:rsidR="00BA5FED" w:rsidRPr="00DB7EE8">
        <w:rPr>
          <w:rFonts w:ascii="Times" w:hAnsi="Times"/>
          <w:sz w:val="18"/>
          <w:szCs w:val="18"/>
        </w:rPr>
        <w:t>,</w:t>
      </w:r>
    </w:p>
    <w:p w14:paraId="50A521D8" w14:textId="78415862" w:rsidR="00BA5FED" w:rsidRPr="00DB7EE8" w:rsidRDefault="00BA5FED" w:rsidP="00BA5FED">
      <w:pPr>
        <w:rPr>
          <w:rFonts w:ascii="Times" w:hAnsi="Times"/>
        </w:rPr>
      </w:pPr>
      <w:r w:rsidRPr="00DB7EE8">
        <w:rPr>
          <w:rFonts w:ascii="Times" w:hAnsi="Times"/>
        </w:rPr>
        <w:t>where</w:t>
      </w:r>
      <w:r w:rsidR="006D2391" w:rsidRPr="00DB7EE8">
        <w:rPr>
          <w:rFonts w:ascii="Times" w:hAnsi="Times"/>
        </w:rPr>
        <w:t xml:space="preserve"> </w:t>
      </w:r>
      <m:oMath>
        <m:r>
          <w:rPr>
            <w:rFonts w:ascii="Cambria Math" w:hAnsi="Cambria Math"/>
          </w:rPr>
          <m:t>β</m:t>
        </m:r>
      </m:oMath>
      <w:r w:rsidR="006D2391" w:rsidRPr="00DB7EE8">
        <w:rPr>
          <w:rFonts w:ascii="Times" w:hAnsi="Times"/>
        </w:rPr>
        <w:t xml:space="preserve"> is our coefficient of interest: the average difference in neighborhood median income between HarvardX registrants reporting parent education and HarvardX registrants not reporting parent education.</w:t>
      </w:r>
      <w:r w:rsidRPr="00DB7EE8">
        <w:rPr>
          <w:rFonts w:ascii="Times" w:hAnsi="Times"/>
        </w:rPr>
        <w:t xml:space="preserve"> </w:t>
      </w:r>
      <m:oMath>
        <m:sSub>
          <m:sSubPr>
            <m:ctrlPr>
              <w:rPr>
                <w:rFonts w:ascii="Cambria Math" w:hAnsi="Cambria Math"/>
                <w:i/>
              </w:rPr>
            </m:ctrlPr>
          </m:sSubPr>
          <m:e>
            <m:r>
              <w:rPr>
                <w:rFonts w:ascii="Cambria Math" w:hAnsi="Cambria Math"/>
              </w:rPr>
              <m:t>δ</m:t>
            </m:r>
          </m:e>
          <m:sub>
            <m:r>
              <w:rPr>
                <w:rFonts w:ascii="Cambria Math" w:hAnsi="Cambria Math"/>
              </w:rPr>
              <m:t>j</m:t>
            </m:r>
          </m:sub>
        </m:sSub>
      </m:oMath>
      <w:r w:rsidRPr="00DB7EE8">
        <w:rPr>
          <w:rFonts w:ascii="Times" w:hAnsi="Times"/>
        </w:rPr>
        <w:t xml:space="preserve"> is one of </w:t>
      </w:r>
      <w:r w:rsidR="0027516F" w:rsidRPr="00DB7EE8">
        <w:rPr>
          <w:rFonts w:ascii="Times" w:hAnsi="Times"/>
        </w:rPr>
        <w:t xml:space="preserve">five </w:t>
      </w:r>
      <w:r w:rsidRPr="00DB7EE8">
        <w:rPr>
          <w:rFonts w:ascii="Times" w:hAnsi="Times"/>
        </w:rPr>
        <w:t>dummy variables estimating the average difference in neighborhood income attributable to age in the population</w:t>
      </w:r>
      <w:r w:rsidR="0027516F" w:rsidRPr="00DB7EE8">
        <w:rPr>
          <w:rFonts w:ascii="Times" w:hAnsi="Times"/>
        </w:rPr>
        <w:t xml:space="preserve"> (one </w:t>
      </w:r>
      <w:r w:rsidR="00A85560" w:rsidRPr="00DB7EE8">
        <w:rPr>
          <w:rFonts w:ascii="Times" w:hAnsi="Times"/>
        </w:rPr>
        <w:t xml:space="preserve">dummy </w:t>
      </w:r>
      <w:r w:rsidR="0027516F" w:rsidRPr="00DB7EE8">
        <w:rPr>
          <w:rFonts w:ascii="Times" w:hAnsi="Times"/>
        </w:rPr>
        <w:t>for each age from 13 to 17</w:t>
      </w:r>
      <w:r w:rsidRPr="00DB7EE8">
        <w:rPr>
          <w:rFonts w:ascii="Times" w:hAnsi="Times"/>
        </w:rPr>
        <w:t>);</w:t>
      </w:r>
      <w:r w:rsidR="00A85560" w:rsidRPr="00DB7EE8">
        <w:rPr>
          <w:rFonts w:ascii="Times" w:hAnsi="Times"/>
        </w:rPr>
        <w:t xml:space="preserve"> and</w:t>
      </w:r>
      <w:r w:rsidRPr="00DB7EE8">
        <w:rPr>
          <w:rFonts w:ascii="Times" w:hAnsi="Times"/>
        </w:rPr>
        <w:t xml:space="preserve"> </w:t>
      </w:r>
      <m:oMath>
        <m:r>
          <w:rPr>
            <w:rFonts w:ascii="Cambria Math" w:hAnsi="Cambria Math"/>
          </w:rPr>
          <m:t>ϵ</m:t>
        </m:r>
      </m:oMath>
      <w:r w:rsidRPr="00DB7EE8">
        <w:rPr>
          <w:rFonts w:ascii="Times" w:hAnsi="Times"/>
        </w:rPr>
        <w:t xml:space="preserve"> is a random error term assumed to be normally distr</w:t>
      </w:r>
      <w:r w:rsidR="00A85560" w:rsidRPr="00DB7EE8">
        <w:rPr>
          <w:rFonts w:ascii="Times" w:hAnsi="Times"/>
        </w:rPr>
        <w:t xml:space="preserve">ibuted with mean 0. </w:t>
      </w:r>
      <w:r w:rsidRPr="00DB7EE8">
        <w:rPr>
          <w:rFonts w:ascii="Times" w:hAnsi="Times"/>
        </w:rPr>
        <w:t xml:space="preserve">In our model, we fail to reject the null hypothesis that the coefficient </w:t>
      </w:r>
      <m:oMath>
        <m:r>
          <w:rPr>
            <w:rFonts w:ascii="Cambria Math" w:hAnsi="Cambria Math"/>
          </w:rPr>
          <m:t>β</m:t>
        </m:r>
      </m:oMath>
      <w:r w:rsidRPr="00DB7EE8">
        <w:rPr>
          <w:rFonts w:ascii="Times" w:hAnsi="Times"/>
        </w:rPr>
        <w:t xml:space="preserve"> is statistically different from zero (</w:t>
      </w:r>
      <w:r w:rsidRPr="00DB7EE8">
        <w:rPr>
          <w:rFonts w:ascii="Times" w:hAnsi="Times"/>
          <w:i/>
        </w:rPr>
        <w:t xml:space="preserve">p </w:t>
      </w:r>
      <w:r w:rsidRPr="00DB7EE8">
        <w:rPr>
          <w:rFonts w:ascii="Times" w:hAnsi="Times"/>
        </w:rPr>
        <w:t>&gt;</w:t>
      </w:r>
      <w:r w:rsidRPr="00DB7EE8">
        <w:rPr>
          <w:rFonts w:ascii="Times" w:hAnsi="Times"/>
          <w:i/>
        </w:rPr>
        <w:t xml:space="preserve"> .</w:t>
      </w:r>
      <w:r w:rsidRPr="00DB7EE8">
        <w:rPr>
          <w:rFonts w:ascii="Times" w:hAnsi="Times"/>
        </w:rPr>
        <w:t xml:space="preserve">05). </w:t>
      </w:r>
      <w:r w:rsidR="00713DFC" w:rsidRPr="00DB7EE8">
        <w:rPr>
          <w:rFonts w:ascii="Times" w:hAnsi="Times"/>
        </w:rPr>
        <w:t>For a test with greater statistical power, w</w:t>
      </w:r>
      <w:r w:rsidR="00AA6147" w:rsidRPr="00DB7EE8">
        <w:rPr>
          <w:rFonts w:ascii="Times" w:hAnsi="Times"/>
        </w:rPr>
        <w:t>e fit the same model on all 44,364 unique HX registrants</w:t>
      </w:r>
      <w:r w:rsidR="0040485D">
        <w:rPr>
          <w:rFonts w:ascii="Times" w:hAnsi="Times"/>
        </w:rPr>
        <w:t xml:space="preserve"> of all ages</w:t>
      </w:r>
      <w:r w:rsidR="00AA6147" w:rsidRPr="00DB7EE8">
        <w:rPr>
          <w:rFonts w:ascii="Times" w:hAnsi="Times"/>
        </w:rPr>
        <w:t xml:space="preserve"> with parsable mailing addresses</w:t>
      </w:r>
      <w:r w:rsidR="00713DFC" w:rsidRPr="00DB7EE8">
        <w:rPr>
          <w:rFonts w:ascii="Times" w:hAnsi="Times"/>
        </w:rPr>
        <w:t>, and again we fail to reject the null hypothesis</w:t>
      </w:r>
      <w:r w:rsidR="00A85560" w:rsidRPr="00DB7EE8">
        <w:rPr>
          <w:rFonts w:ascii="Times" w:hAnsi="Times"/>
        </w:rPr>
        <w:t xml:space="preserve"> (</w:t>
      </w:r>
      <w:r w:rsidR="00A85560" w:rsidRPr="00DB7EE8">
        <w:rPr>
          <w:rFonts w:ascii="Times" w:hAnsi="Times"/>
          <w:i/>
        </w:rPr>
        <w:t xml:space="preserve">p </w:t>
      </w:r>
      <w:r w:rsidR="00A85560" w:rsidRPr="00DB7EE8">
        <w:rPr>
          <w:rFonts w:ascii="Times" w:hAnsi="Times"/>
        </w:rPr>
        <w:t>&gt; .05)</w:t>
      </w:r>
      <w:r w:rsidR="00713DFC" w:rsidRPr="00DB7EE8">
        <w:rPr>
          <w:rFonts w:ascii="Times" w:hAnsi="Times"/>
        </w:rPr>
        <w:t xml:space="preserve"> that neighborhood income is different for individuals responding to the survey item about parental education. </w:t>
      </w:r>
      <w:r w:rsidRPr="00DB7EE8">
        <w:rPr>
          <w:rFonts w:ascii="Times" w:hAnsi="Times"/>
        </w:rPr>
        <w:t xml:space="preserve">Failing to reject the null hypothesis does not prove that survey non-respondents </w:t>
      </w:r>
      <w:r w:rsidR="005B6CFE" w:rsidRPr="00DB7EE8">
        <w:rPr>
          <w:rFonts w:ascii="Times" w:hAnsi="Times"/>
        </w:rPr>
        <w:t>are not</w:t>
      </w:r>
      <w:r w:rsidRPr="00DB7EE8">
        <w:rPr>
          <w:rFonts w:ascii="Times" w:hAnsi="Times"/>
        </w:rPr>
        <w:t xml:space="preserve"> demographically different from survey respondents </w:t>
      </w:r>
      <w:r w:rsidR="00713DFC" w:rsidRPr="00DB7EE8">
        <w:rPr>
          <w:rFonts w:ascii="Times" w:hAnsi="Times"/>
        </w:rPr>
        <w:t xml:space="preserve">with respect to SES or other </w:t>
      </w:r>
      <w:r w:rsidRPr="00DB7EE8">
        <w:rPr>
          <w:rFonts w:ascii="Times" w:hAnsi="Times"/>
        </w:rPr>
        <w:t>important ways</w:t>
      </w:r>
      <w:r w:rsidR="00DD1F52" w:rsidRPr="00DB7EE8">
        <w:rPr>
          <w:rFonts w:ascii="Times" w:hAnsi="Times"/>
        </w:rPr>
        <w:t>,</w:t>
      </w:r>
      <w:r w:rsidR="00FA4491" w:rsidRPr="00DB7EE8">
        <w:rPr>
          <w:rFonts w:ascii="Times" w:hAnsi="Times"/>
        </w:rPr>
        <w:t xml:space="preserve"> </w:t>
      </w:r>
      <w:r w:rsidRPr="00DB7EE8">
        <w:rPr>
          <w:rFonts w:ascii="Times" w:hAnsi="Times"/>
        </w:rPr>
        <w:t>but</w:t>
      </w:r>
      <w:r w:rsidR="00D80F1A" w:rsidRPr="00DB7EE8">
        <w:rPr>
          <w:rFonts w:ascii="Times" w:hAnsi="Times"/>
        </w:rPr>
        <w:t xml:space="preserve"> </w:t>
      </w:r>
      <w:r w:rsidRPr="00DB7EE8">
        <w:rPr>
          <w:rFonts w:ascii="Times" w:hAnsi="Times"/>
        </w:rPr>
        <w:t xml:space="preserve">the lack of a within-age group difference </w:t>
      </w:r>
      <w:r w:rsidR="00713DFC" w:rsidRPr="00DB7EE8">
        <w:rPr>
          <w:rFonts w:ascii="Times" w:hAnsi="Times"/>
        </w:rPr>
        <w:t>in</w:t>
      </w:r>
      <w:r w:rsidRPr="00DB7EE8">
        <w:rPr>
          <w:rFonts w:ascii="Times" w:hAnsi="Times"/>
        </w:rPr>
        <w:t xml:space="preserve"> neighborhood income </w:t>
      </w:r>
      <w:r w:rsidR="005B6CFE" w:rsidRPr="00DB7EE8">
        <w:rPr>
          <w:rFonts w:ascii="Times" w:hAnsi="Times"/>
        </w:rPr>
        <w:t xml:space="preserve">suggests that </w:t>
      </w:r>
      <w:r w:rsidRPr="00DB7EE8">
        <w:rPr>
          <w:rFonts w:ascii="Times" w:hAnsi="Times"/>
        </w:rPr>
        <w:t>SES leve</w:t>
      </w:r>
      <w:r w:rsidR="005B6CFE" w:rsidRPr="00DB7EE8">
        <w:rPr>
          <w:rFonts w:ascii="Times" w:hAnsi="Times"/>
        </w:rPr>
        <w:t xml:space="preserve">ls for survey respondents are </w:t>
      </w:r>
      <w:r w:rsidRPr="00DB7EE8">
        <w:rPr>
          <w:rFonts w:ascii="Times" w:hAnsi="Times"/>
        </w:rPr>
        <w:t xml:space="preserve">reasonable estimates for SES levels for HarvardX registrants not responding to the parent education survey item but reporting a parsable address. </w:t>
      </w:r>
    </w:p>
    <w:p w14:paraId="1A55F7B6" w14:textId="7DE8961E" w:rsidR="00977E64" w:rsidRPr="00DB7EE8" w:rsidRDefault="00A003E5" w:rsidP="00977E64">
      <w:pPr>
        <w:pStyle w:val="Heading1"/>
        <w:rPr>
          <w:rFonts w:ascii="Times" w:hAnsi="Times"/>
        </w:rPr>
      </w:pPr>
      <w:r>
        <w:rPr>
          <w:rFonts w:ascii="Times" w:hAnsi="Times"/>
        </w:rPr>
        <w:t xml:space="preserve">6. </w:t>
      </w:r>
      <w:r w:rsidR="00F61233" w:rsidRPr="00DB7EE8">
        <w:rPr>
          <w:rFonts w:ascii="Times" w:hAnsi="Times"/>
        </w:rPr>
        <w:t>HOW DOES SES PREDICT THE LIKELIHOOD OF MOOC REGISTRATION?</w:t>
      </w:r>
      <w:r w:rsidR="00977E64" w:rsidRPr="00DB7EE8">
        <w:rPr>
          <w:rFonts w:ascii="Times" w:hAnsi="Times"/>
        </w:rPr>
        <w:t xml:space="preserve"> </w:t>
      </w:r>
    </w:p>
    <w:p w14:paraId="2A130D9E" w14:textId="77777777" w:rsidR="003F48A8" w:rsidRDefault="00F61233" w:rsidP="00F94E79">
      <w:pPr>
        <w:pStyle w:val="FootnoteText"/>
        <w:rPr>
          <w:rFonts w:ascii="Times" w:hAnsi="Times"/>
        </w:rPr>
      </w:pPr>
      <w:r w:rsidRPr="00DB7EE8">
        <w:rPr>
          <w:rFonts w:ascii="Times" w:hAnsi="Times"/>
        </w:rPr>
        <w:t xml:space="preserve">In the previous sections </w:t>
      </w:r>
      <w:r w:rsidR="00890E7C" w:rsidRPr="00DB7EE8">
        <w:rPr>
          <w:rFonts w:ascii="Times" w:hAnsi="Times"/>
        </w:rPr>
        <w:t>w</w:t>
      </w:r>
      <w:r w:rsidR="005A58AD" w:rsidRPr="00DB7EE8">
        <w:rPr>
          <w:rFonts w:ascii="Times" w:hAnsi="Times"/>
        </w:rPr>
        <w:t xml:space="preserve">e used third-party datasets for three purposes: </w:t>
      </w:r>
      <w:r w:rsidR="003F48A8">
        <w:rPr>
          <w:rFonts w:ascii="Times" w:hAnsi="Times"/>
        </w:rPr>
        <w:t xml:space="preserve">(1) </w:t>
      </w:r>
      <w:r w:rsidR="005A58AD" w:rsidRPr="00DB7EE8">
        <w:rPr>
          <w:rFonts w:ascii="Times" w:hAnsi="Times"/>
        </w:rPr>
        <w:t xml:space="preserve">to match address data with neighborhood income data to </w:t>
      </w:r>
      <w:r w:rsidR="00890E7C" w:rsidRPr="00DB7EE8">
        <w:rPr>
          <w:rFonts w:ascii="Times" w:hAnsi="Times"/>
        </w:rPr>
        <w:t xml:space="preserve">enrich our demographic portrait of HarvardX students, </w:t>
      </w:r>
      <w:r w:rsidR="003F48A8">
        <w:rPr>
          <w:rFonts w:ascii="Times" w:hAnsi="Times"/>
        </w:rPr>
        <w:t xml:space="preserve">(2) </w:t>
      </w:r>
      <w:r w:rsidR="00890E7C" w:rsidRPr="00DB7EE8">
        <w:rPr>
          <w:rFonts w:ascii="Times" w:hAnsi="Times"/>
        </w:rPr>
        <w:t>to descriptively compare distributions of median neighborhood inc</w:t>
      </w:r>
      <w:r w:rsidR="005F4799" w:rsidRPr="00DB7EE8">
        <w:rPr>
          <w:rFonts w:ascii="Times" w:hAnsi="Times"/>
        </w:rPr>
        <w:t>ome and parental education between HarvardX registrants and the U.S. pop</w:t>
      </w:r>
      <w:r w:rsidR="003F48A8">
        <w:rPr>
          <w:rFonts w:ascii="Times" w:hAnsi="Times"/>
        </w:rPr>
        <w:t xml:space="preserve">ulation, and (3) </w:t>
      </w:r>
      <w:r w:rsidR="005F4799" w:rsidRPr="00DB7EE8">
        <w:rPr>
          <w:rFonts w:ascii="Times" w:hAnsi="Times"/>
        </w:rPr>
        <w:t xml:space="preserve">to evaluate </w:t>
      </w:r>
      <w:r w:rsidR="00BC6D89" w:rsidRPr="00DB7EE8">
        <w:rPr>
          <w:rFonts w:ascii="Times" w:hAnsi="Times"/>
        </w:rPr>
        <w:t>response bias in our</w:t>
      </w:r>
      <w:r w:rsidR="005F4799" w:rsidRPr="00DB7EE8">
        <w:rPr>
          <w:rFonts w:ascii="Times" w:hAnsi="Times"/>
        </w:rPr>
        <w:t xml:space="preserve"> survey </w:t>
      </w:r>
      <w:r w:rsidR="00BC6D89" w:rsidRPr="00DB7EE8">
        <w:rPr>
          <w:rFonts w:ascii="Times" w:hAnsi="Times"/>
        </w:rPr>
        <w:t>data</w:t>
      </w:r>
      <w:r w:rsidR="005F4799" w:rsidRPr="00DB7EE8">
        <w:rPr>
          <w:rFonts w:ascii="Times" w:hAnsi="Times"/>
        </w:rPr>
        <w:t xml:space="preserve">. </w:t>
      </w:r>
      <w:r w:rsidR="00862311" w:rsidRPr="00DB7EE8">
        <w:rPr>
          <w:rFonts w:ascii="Times" w:hAnsi="Times"/>
        </w:rPr>
        <w:t xml:space="preserve">Here, we demonstrate their use in estimating the effect of SES measures on the likelihood of registering for a HarvardX course, conditional on student age. </w:t>
      </w:r>
    </w:p>
    <w:p w14:paraId="397A88C7" w14:textId="534AE5EF" w:rsidR="00FE3257" w:rsidRPr="004D513F" w:rsidRDefault="005B1466" w:rsidP="00F94E79">
      <w:pPr>
        <w:pStyle w:val="FootnoteText"/>
        <w:rPr>
          <w:rFonts w:ascii="Times" w:hAnsi="Times"/>
        </w:rPr>
      </w:pPr>
      <w:r w:rsidRPr="00DB7EE8">
        <w:rPr>
          <w:rFonts w:ascii="Times" w:hAnsi="Times"/>
        </w:rPr>
        <w:t xml:space="preserve">In this section, </w:t>
      </w:r>
      <w:r w:rsidR="005A58AD" w:rsidRPr="00DB7EE8">
        <w:rPr>
          <w:rFonts w:ascii="Times" w:hAnsi="Times"/>
        </w:rPr>
        <w:t>w</w:t>
      </w:r>
      <w:r w:rsidR="00977E64" w:rsidRPr="00DB7EE8">
        <w:rPr>
          <w:rFonts w:ascii="Times" w:hAnsi="Times"/>
        </w:rPr>
        <w:t>e</w:t>
      </w:r>
      <w:r w:rsidR="002673A7" w:rsidRPr="00DB7EE8">
        <w:rPr>
          <w:rFonts w:ascii="Times" w:hAnsi="Times"/>
        </w:rPr>
        <w:t xml:space="preserve"> append</w:t>
      </w:r>
      <w:r w:rsidR="00977E64" w:rsidRPr="00DB7EE8">
        <w:rPr>
          <w:rFonts w:ascii="Times" w:hAnsi="Times"/>
        </w:rPr>
        <w:t xml:space="preserve"> our HarvardX dataset </w:t>
      </w:r>
      <w:r w:rsidR="003F48A8">
        <w:rPr>
          <w:rFonts w:ascii="Times" w:hAnsi="Times"/>
        </w:rPr>
        <w:t xml:space="preserve">to one of two </w:t>
      </w:r>
      <w:r w:rsidR="00977E64" w:rsidRPr="00DB7EE8">
        <w:rPr>
          <w:rFonts w:ascii="Times" w:hAnsi="Times"/>
        </w:rPr>
        <w:t>nationally re</w:t>
      </w:r>
      <w:r w:rsidR="002673A7" w:rsidRPr="00DB7EE8">
        <w:rPr>
          <w:rFonts w:ascii="Times" w:hAnsi="Times"/>
        </w:rPr>
        <w:t>presentative dataset</w:t>
      </w:r>
      <w:r w:rsidR="003F48A8">
        <w:rPr>
          <w:rFonts w:ascii="Times" w:hAnsi="Times"/>
        </w:rPr>
        <w:t>s</w:t>
      </w:r>
      <w:r w:rsidR="002673A7" w:rsidRPr="00DB7EE8">
        <w:rPr>
          <w:rFonts w:ascii="Times" w:hAnsi="Times"/>
        </w:rPr>
        <w:t xml:space="preserve"> and fit</w:t>
      </w:r>
      <w:r w:rsidR="00977E64" w:rsidRPr="00DB7EE8">
        <w:rPr>
          <w:rFonts w:ascii="Times" w:hAnsi="Times"/>
        </w:rPr>
        <w:t xml:space="preserve"> regressions models </w:t>
      </w:r>
      <w:r w:rsidR="002673A7" w:rsidRPr="00DB7EE8">
        <w:rPr>
          <w:rFonts w:ascii="Times" w:hAnsi="Times"/>
        </w:rPr>
        <w:t>to offer greater insight into the demographics of HarvardX registrants</w:t>
      </w:r>
      <w:r w:rsidR="00977E64" w:rsidRPr="00DB7EE8">
        <w:rPr>
          <w:rFonts w:ascii="Times" w:hAnsi="Times"/>
        </w:rPr>
        <w:t>.</w:t>
      </w:r>
      <w:r w:rsidR="00FE3257" w:rsidRPr="00DB7EE8">
        <w:rPr>
          <w:rFonts w:ascii="Times" w:hAnsi="Times"/>
        </w:rPr>
        <w:t xml:space="preserve"> We do this by literally appending</w:t>
      </w:r>
      <w:r w:rsidR="00F94E79" w:rsidRPr="00DB7EE8">
        <w:rPr>
          <w:rFonts w:ascii="Times" w:hAnsi="Times"/>
        </w:rPr>
        <w:t xml:space="preserve"> the HarvardX dataset to</w:t>
      </w:r>
      <w:r w:rsidR="00FE3257" w:rsidRPr="00DB7EE8">
        <w:rPr>
          <w:rFonts w:ascii="Times" w:hAnsi="Times"/>
        </w:rPr>
        <w:t xml:space="preserve"> either the ACS </w:t>
      </w:r>
      <w:r w:rsidR="00F94E79" w:rsidRPr="00DB7EE8">
        <w:rPr>
          <w:rFonts w:ascii="Times" w:hAnsi="Times"/>
        </w:rPr>
        <w:t>or Esri dataset</w:t>
      </w:r>
      <w:r w:rsidR="00A56159" w:rsidRPr="00DB7EE8">
        <w:rPr>
          <w:rFonts w:ascii="Times" w:hAnsi="Times"/>
        </w:rPr>
        <w:t>,</w:t>
      </w:r>
      <w:r w:rsidR="00F94E79" w:rsidRPr="00DB7EE8">
        <w:rPr>
          <w:rFonts w:ascii="Times" w:hAnsi="Times"/>
        </w:rPr>
        <w:t xml:space="preserve"> </w:t>
      </w:r>
      <w:r w:rsidR="00FE3257" w:rsidRPr="00DB7EE8">
        <w:rPr>
          <w:rFonts w:ascii="Times" w:hAnsi="Times"/>
        </w:rPr>
        <w:t>yielding a representative sample for the United States. Since variables for the ACS and Esri dataset focus on different units of observation (the person in the former and the census block group in the latter)</w:t>
      </w:r>
      <w:r w:rsidR="00F94E79" w:rsidRPr="00DB7EE8">
        <w:rPr>
          <w:rFonts w:ascii="Times" w:hAnsi="Times"/>
        </w:rPr>
        <w:t xml:space="preserve">, we </w:t>
      </w:r>
      <w:r w:rsidR="00DC1CA1" w:rsidRPr="00DB7EE8">
        <w:rPr>
          <w:rFonts w:ascii="Times" w:hAnsi="Times"/>
        </w:rPr>
        <w:t xml:space="preserve">must </w:t>
      </w:r>
      <w:r w:rsidR="00F94E79" w:rsidRPr="00DB7EE8">
        <w:rPr>
          <w:rFonts w:ascii="Times" w:hAnsi="Times"/>
        </w:rPr>
        <w:t xml:space="preserve">evaluate the effect of </w:t>
      </w:r>
      <w:r w:rsidR="00DC1CA1" w:rsidRPr="00DB7EE8">
        <w:rPr>
          <w:rFonts w:ascii="Times" w:hAnsi="Times"/>
        </w:rPr>
        <w:t xml:space="preserve">median income and parental education separately. </w:t>
      </w:r>
      <w:r w:rsidR="00F94E79" w:rsidRPr="00DB7EE8">
        <w:rPr>
          <w:rFonts w:ascii="Times" w:hAnsi="Times"/>
        </w:rPr>
        <w:t xml:space="preserve">When we append the </w:t>
      </w:r>
      <w:r w:rsidR="00DC1CA1" w:rsidRPr="00DB7EE8">
        <w:rPr>
          <w:rFonts w:ascii="Times" w:hAnsi="Times"/>
        </w:rPr>
        <w:t xml:space="preserve">HarvardX </w:t>
      </w:r>
      <w:r w:rsidR="00F94E79" w:rsidRPr="00DB7EE8">
        <w:rPr>
          <w:rFonts w:ascii="Times" w:hAnsi="Times"/>
        </w:rPr>
        <w:t xml:space="preserve">dataset to the </w:t>
      </w:r>
      <w:r w:rsidR="00DC1CA1" w:rsidRPr="00DB7EE8">
        <w:rPr>
          <w:rFonts w:ascii="Times" w:hAnsi="Times"/>
        </w:rPr>
        <w:t>ACS</w:t>
      </w:r>
      <w:r w:rsidR="00F94E79" w:rsidRPr="00DB7EE8">
        <w:rPr>
          <w:rFonts w:ascii="Times" w:hAnsi="Times"/>
        </w:rPr>
        <w:t xml:space="preserve"> dataset, we add </w:t>
      </w:r>
      <w:r w:rsidR="00DC1CA1" w:rsidRPr="00DB7EE8">
        <w:rPr>
          <w:rFonts w:ascii="Times" w:hAnsi="Times"/>
        </w:rPr>
        <w:t xml:space="preserve">approximately 75,000 observations to the </w:t>
      </w:r>
      <w:r w:rsidR="00103B0D">
        <w:rPr>
          <w:rFonts w:ascii="Times" w:hAnsi="Times"/>
        </w:rPr>
        <w:t xml:space="preserve">probability weight-implied </w:t>
      </w:r>
      <w:r w:rsidR="00A56159" w:rsidRPr="00DB7EE8">
        <w:rPr>
          <w:rFonts w:ascii="Times" w:hAnsi="Times"/>
        </w:rPr>
        <w:t xml:space="preserve">232 million </w:t>
      </w:r>
      <w:r w:rsidR="00F94E79" w:rsidRPr="00DB7EE8">
        <w:rPr>
          <w:rFonts w:ascii="Times" w:hAnsi="Times"/>
        </w:rPr>
        <w:t>observations</w:t>
      </w:r>
      <w:r w:rsidR="00DC1CA1" w:rsidRPr="00DB7EE8">
        <w:rPr>
          <w:rFonts w:ascii="Times" w:hAnsi="Times"/>
        </w:rPr>
        <w:t xml:space="preserve"> that represent the entire non-institutionalized U.S. population aged 13-69, making it only trivially less representative. Similarly, when we append the HarvardX dataset to the Esri dataset, we add the 75,000 obser</w:t>
      </w:r>
      <w:r w:rsidR="00A56159" w:rsidRPr="00DB7EE8">
        <w:rPr>
          <w:rFonts w:ascii="Times" w:hAnsi="Times"/>
        </w:rPr>
        <w:t>vations to the approximately 232.5</w:t>
      </w:r>
      <w:r w:rsidR="00B27DAE">
        <w:rPr>
          <w:rFonts w:ascii="Times" w:hAnsi="Times"/>
        </w:rPr>
        <w:t xml:space="preserve"> </w:t>
      </w:r>
      <w:r w:rsidR="00B27DAE" w:rsidRPr="00DB7EE8">
        <w:rPr>
          <w:rFonts w:ascii="Times" w:hAnsi="Times"/>
        </w:rPr>
        <w:t>million</w:t>
      </w:r>
      <w:r w:rsidR="00A56159" w:rsidRPr="00DB7EE8">
        <w:rPr>
          <w:rFonts w:ascii="Times" w:hAnsi="Times"/>
        </w:rPr>
        <w:t xml:space="preserve"> </w:t>
      </w:r>
      <w:r w:rsidR="00103B0D">
        <w:rPr>
          <w:rFonts w:ascii="Times" w:hAnsi="Times"/>
        </w:rPr>
        <w:t xml:space="preserve">frequency weight-implied </w:t>
      </w:r>
      <w:r w:rsidR="00DC1CA1" w:rsidRPr="00DB7EE8">
        <w:rPr>
          <w:rFonts w:ascii="Times" w:hAnsi="Times"/>
        </w:rPr>
        <w:t xml:space="preserve">observations, again making it trivially less representative. </w:t>
      </w:r>
    </w:p>
    <w:p w14:paraId="26CECA53" w14:textId="7A6F723F" w:rsidR="00977E64" w:rsidRPr="004D513F" w:rsidRDefault="00977E64" w:rsidP="00977E64">
      <w:pPr>
        <w:rPr>
          <w:rFonts w:ascii="Times" w:hAnsi="Times"/>
        </w:rPr>
      </w:pPr>
      <w:r w:rsidRPr="004D513F">
        <w:rPr>
          <w:rFonts w:ascii="Times" w:hAnsi="Times"/>
        </w:rPr>
        <w:t>For parent education, we fit a model that can be expressed in the following mathematically equivalent ways:</w:t>
      </w:r>
    </w:p>
    <w:p w14:paraId="6634A16D" w14:textId="089FDC62" w:rsidR="00977E64" w:rsidRPr="004D513F" w:rsidRDefault="00977E64" w:rsidP="00977E64">
      <w:pPr>
        <w:jc w:val="center"/>
        <w:rPr>
          <w:rFonts w:ascii="Times" w:hAnsi="Times"/>
          <w:sz w:val="18"/>
          <w:szCs w:val="18"/>
        </w:rPr>
      </w:pPr>
      <m:oMathPara>
        <m:oMath>
          <m:r>
            <w:rPr>
              <w:rFonts w:ascii="Cambria Math" w:hAnsi="Cambria Math"/>
              <w:sz w:val="18"/>
              <w:szCs w:val="18"/>
            </w:rPr>
            <m:t>Pr</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reg</m:t>
                  </m:r>
                </m:e>
                <m:sub>
                  <m:r>
                    <w:rPr>
                      <w:rFonts w:ascii="Cambria Math" w:hAnsi="Cambria Math"/>
                      <w:sz w:val="18"/>
                      <w:szCs w:val="18"/>
                    </w:rPr>
                    <m:t>ij</m:t>
                  </m:r>
                </m:sub>
              </m:sSub>
              <m:r>
                <w:rPr>
                  <w:rFonts w:ascii="Cambria Math" w:hAnsi="Cambria Math"/>
                  <w:sz w:val="18"/>
                  <w:szCs w:val="18"/>
                </w:rPr>
                <m:t xml:space="preserve">=1 </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r>
            <w:rPr>
              <w:rFonts w:ascii="Cambria Math" w:hAnsi="Cambria Math"/>
              <w:sz w:val="18"/>
              <w:szCs w:val="18"/>
            </w:rPr>
            <m:t>)=(1+</m:t>
          </m:r>
          <m:sSup>
            <m:sSupPr>
              <m:ctrlPr>
                <w:rPr>
                  <w:rFonts w:ascii="Cambria Math" w:hAnsi="Cambria Math"/>
                  <w:i/>
                  <w:sz w:val="18"/>
                  <w:szCs w:val="18"/>
                </w:rPr>
              </m:ctrlPr>
            </m:sSupPr>
            <m:e>
              <m:func>
                <m:funcPr>
                  <m:ctrlPr>
                    <w:rPr>
                      <w:rFonts w:ascii="Cambria Math" w:hAnsi="Cambria Math"/>
                      <w:sz w:val="18"/>
                      <w:szCs w:val="18"/>
                    </w:rPr>
                  </m:ctrlPr>
                </m:funcPr>
                <m:fName>
                  <m:r>
                    <m:rPr>
                      <m:sty m:val="p"/>
                    </m:rPr>
                    <w:rPr>
                      <w:rFonts w:ascii="Cambria Math" w:hAnsi="Cambria Math"/>
                      <w:sz w:val="18"/>
                      <w:szCs w:val="18"/>
                    </w:rPr>
                    <m:t>exp</m:t>
                  </m:r>
                  <m:ctrlPr>
                    <w:rPr>
                      <w:rFonts w:ascii="Cambria Math" w:hAnsi="Cambria Math"/>
                      <w:i/>
                      <w:sz w:val="18"/>
                      <w:szCs w:val="18"/>
                    </w:rPr>
                  </m:ctrlPr>
                </m:fName>
                <m:e>
                  <m:d>
                    <m:dPr>
                      <m:ctrlPr>
                        <w:rPr>
                          <w:rFonts w:ascii="Cambria Math" w:hAnsi="Cambria Math"/>
                          <w:i/>
                          <w:sz w:val="18"/>
                          <w:szCs w:val="18"/>
                        </w:rPr>
                      </m:ctrlPr>
                    </m:dPr>
                    <m:e>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β(pe</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j</m:t>
                              </m:r>
                            </m:sub>
                          </m:sSub>
                        </m:e>
                      </m:d>
                    </m:e>
                  </m:d>
                </m:e>
              </m:func>
            </m:e>
            <m:sup>
              <m:r>
                <w:rPr>
                  <w:rFonts w:ascii="Cambria Math" w:hAnsi="Cambria Math"/>
                  <w:sz w:val="18"/>
                  <w:szCs w:val="18"/>
                </w:rPr>
                <m:t>-1</m:t>
              </m:r>
            </m:sup>
          </m:sSup>
        </m:oMath>
      </m:oMathPara>
    </w:p>
    <w:p w14:paraId="0C21B32F" w14:textId="760028C7" w:rsidR="00977E64" w:rsidRPr="004D513F" w:rsidRDefault="00977E64" w:rsidP="00977E64">
      <w:pPr>
        <w:jc w:val="center"/>
        <w:rPr>
          <w:rFonts w:ascii="Times" w:hAnsi="Times"/>
          <w:sz w:val="18"/>
          <w:szCs w:val="18"/>
        </w:rPr>
      </w:pPr>
      <m:oMath>
        <m:r>
          <w:rPr>
            <w:rFonts w:ascii="Cambria Math" w:hAnsi="Cambria Math"/>
            <w:sz w:val="18"/>
            <w:szCs w:val="18"/>
          </w:rPr>
          <m:t>logit(pr</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reg</m:t>
                </m:r>
              </m:e>
              <m:sub>
                <m:r>
                  <w:rPr>
                    <w:rFonts w:ascii="Cambria Math" w:hAnsi="Cambria Math"/>
                    <w:sz w:val="18"/>
                    <w:szCs w:val="18"/>
                  </w:rPr>
                  <m:t>ij</m:t>
                </m:r>
              </m:sub>
            </m:sSub>
            <m:r>
              <w:rPr>
                <w:rFonts w:ascii="Cambria Math" w:hAnsi="Cambria Math"/>
                <w:sz w:val="18"/>
                <w:szCs w:val="18"/>
              </w:rPr>
              <m:t xml:space="preserve">=1 </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r>
          <w:rPr>
            <w:rFonts w:ascii="Cambria Math" w:hAnsi="Cambria Math"/>
            <w:sz w:val="18"/>
            <w:szCs w:val="18"/>
          </w:rPr>
          <m:t>))=β(pe</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j</m:t>
            </m:r>
          </m:sub>
        </m:sSub>
      </m:oMath>
      <w:r w:rsidRPr="004D513F">
        <w:rPr>
          <w:rFonts w:ascii="Times" w:hAnsi="Times"/>
          <w:sz w:val="18"/>
          <w:szCs w:val="18"/>
        </w:rPr>
        <w:t>,</w:t>
      </w:r>
    </w:p>
    <w:p w14:paraId="7DDD68EF" w14:textId="7D4BB31E" w:rsidR="000460AE" w:rsidRDefault="00977E64" w:rsidP="00B27DAE">
      <w:pPr>
        <w:pStyle w:val="FootnoteText"/>
        <w:rPr>
          <w:rFonts w:ascii="Times" w:hAnsi="Times"/>
        </w:rPr>
      </w:pPr>
      <w:r w:rsidRPr="004D513F">
        <w:rPr>
          <w:rFonts w:ascii="Times" w:hAnsi="Times"/>
        </w:rPr>
        <w:t>where</w:t>
      </w:r>
      <w:r w:rsidR="00DE1083" w:rsidRPr="004D513F">
        <w:rPr>
          <w:rFonts w:ascii="Times" w:hAnsi="Times"/>
        </w:rPr>
        <w:t xml:space="preserve"> the coefficient of interest is </w:t>
      </w:r>
      <m:oMath>
        <m:r>
          <w:rPr>
            <w:rFonts w:ascii="Cambria Math" w:hAnsi="Cambria Math"/>
          </w:rPr>
          <m:t>β</m:t>
        </m:r>
      </m:oMath>
      <w:r w:rsidR="00DE1083" w:rsidRPr="004D513F">
        <w:rPr>
          <w:rFonts w:ascii="Times" w:hAnsi="Times"/>
        </w:rPr>
        <w:t>, the within-age difference in the probability—or the difference in the log-odds in the second equation—of HarvardX registration attributable to a difference in parent education.</w:t>
      </w:r>
      <w:r w:rsidR="004D513F" w:rsidRPr="004D513F">
        <w:rPr>
          <w:rFonts w:ascii="Times" w:hAnsi="Times"/>
        </w:rPr>
        <w:t xml:space="preserve"> In Model 1, we estimate a separate</w:t>
      </w:r>
      <w:r w:rsidR="00DE1083" w:rsidRPr="004D513F">
        <w:rPr>
          <w:rFonts w:ascii="Times" w:hAnsi="Times"/>
        </w:rPr>
        <w:t xml:space="preserve"> </w:t>
      </w:r>
      <m:oMath>
        <m:r>
          <w:rPr>
            <w:rFonts w:ascii="Cambria Math" w:hAnsi="Cambria Math"/>
          </w:rPr>
          <m:t>β</m:t>
        </m:r>
      </m:oMath>
      <w:r w:rsidR="004D513F" w:rsidRPr="004D513F">
        <w:rPr>
          <w:rFonts w:ascii="Times" w:hAnsi="Times"/>
        </w:rPr>
        <w:t xml:space="preserve"> for each level of parental education, and in Model 2 we </w:t>
      </w:r>
      <w:r w:rsidR="004D513F">
        <w:rPr>
          <w:rFonts w:ascii="Times" w:hAnsi="Times"/>
        </w:rPr>
        <w:t xml:space="preserve">use an ordinal scale </w:t>
      </w:r>
      <w:r w:rsidR="004D513F" w:rsidRPr="00DB7EE8">
        <w:rPr>
          <w:rFonts w:ascii="Times" w:hAnsi="Times"/>
        </w:rPr>
        <w:t>such that 1 = Less than HS completion, 2 = HS completion, 3 = Associate’s degree, 4 = Bachelor’s degree, and 5 = Graduate degree.</w:t>
      </w:r>
      <w:r w:rsidR="00B27DAE">
        <w:rPr>
          <w:rFonts w:ascii="Times" w:hAnsi="Times"/>
        </w:rPr>
        <w:t xml:space="preserve"> In Models 1 and 2, </w:t>
      </w:r>
      <m:oMath>
        <m:sSub>
          <m:sSubPr>
            <m:ctrlPr>
              <w:rPr>
                <w:rFonts w:ascii="Cambria Math" w:hAnsi="Cambria Math"/>
              </w:rPr>
            </m:ctrlPr>
          </m:sSubPr>
          <m:e>
            <m:r>
              <w:rPr>
                <w:rFonts w:ascii="Cambria Math" w:hAnsi="Cambria Math"/>
              </w:rPr>
              <m:t>δ</m:t>
            </m:r>
          </m:e>
          <m:sub>
            <m:r>
              <w:rPr>
                <w:rFonts w:ascii="Cambria Math" w:hAnsi="Cambria Math"/>
              </w:rPr>
              <m:t>j</m:t>
            </m:r>
          </m:sub>
        </m:sSub>
      </m:oMath>
      <w:r w:rsidRPr="004D513F">
        <w:rPr>
          <w:rFonts w:ascii="Times" w:hAnsi="Times"/>
        </w:rPr>
        <w:t xml:space="preserve"> is a dummy variable for each age in the model</w:t>
      </w:r>
      <w:r w:rsidR="007B7371" w:rsidRPr="004D513F">
        <w:rPr>
          <w:rFonts w:ascii="Times" w:hAnsi="Times"/>
        </w:rPr>
        <w:t>, accounting for the difference in registration likelihood attributable to age</w:t>
      </w:r>
      <w:r w:rsidRPr="004D513F">
        <w:rPr>
          <w:rFonts w:ascii="Times" w:hAnsi="Times"/>
        </w:rPr>
        <w:t xml:space="preserve">. The effect of </w:t>
      </w:r>
      <m:oMath>
        <m:r>
          <w:rPr>
            <w:rFonts w:ascii="Cambria Math" w:hAnsi="Cambria Math"/>
          </w:rPr>
          <m:t>β</m:t>
        </m:r>
      </m:oMath>
      <w:r w:rsidRPr="004D513F">
        <w:rPr>
          <w:rFonts w:ascii="Times" w:hAnsi="Times"/>
        </w:rPr>
        <w:t xml:space="preserve"> is nonlinear on a</w:t>
      </w:r>
      <w:r w:rsidRPr="00DB7EE8">
        <w:rPr>
          <w:rFonts w:ascii="Times" w:hAnsi="Times"/>
        </w:rPr>
        <w:t xml:space="preserve"> probability scale but</w:t>
      </w:r>
      <w:r w:rsidR="001B39BC">
        <w:rPr>
          <w:rFonts w:ascii="Times" w:hAnsi="Times"/>
        </w:rPr>
        <w:t xml:space="preserve"> constrained to be</w:t>
      </w:r>
      <w:r w:rsidRPr="00DB7EE8">
        <w:rPr>
          <w:rFonts w:ascii="Times" w:hAnsi="Times"/>
        </w:rPr>
        <w:t xml:space="preserve"> linear on a log-odds (or logit) scale. </w:t>
      </w:r>
      <w:r w:rsidR="00B841CF" w:rsidRPr="00DB7EE8">
        <w:rPr>
          <w:rFonts w:ascii="Times" w:hAnsi="Times"/>
        </w:rPr>
        <w:br/>
      </w:r>
      <w:r w:rsidR="008200BD" w:rsidRPr="00DB7EE8">
        <w:rPr>
          <w:rFonts w:ascii="Times" w:hAnsi="Times"/>
        </w:rPr>
        <w:br/>
      </w:r>
      <w:r w:rsidR="00A003E5" w:rsidRPr="004D513F">
        <w:rPr>
          <w:rFonts w:ascii="Times" w:hAnsi="Times"/>
          <w:noProof/>
        </w:rPr>
        <mc:AlternateContent>
          <mc:Choice Requires="wps">
            <w:drawing>
              <wp:anchor distT="0" distB="0" distL="114300" distR="114300" simplePos="0" relativeHeight="251680768" behindDoc="0" locked="0" layoutInCell="1" allowOverlap="1" wp14:anchorId="213BC011" wp14:editId="4CE1103E">
                <wp:simplePos x="0" y="0"/>
                <wp:positionH relativeFrom="column">
                  <wp:posOffset>0</wp:posOffset>
                </wp:positionH>
                <wp:positionV relativeFrom="paragraph">
                  <wp:posOffset>0</wp:posOffset>
                </wp:positionV>
                <wp:extent cx="3086100" cy="45720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C743" w14:textId="731B9CD2" w:rsidR="00D50343" w:rsidRPr="00520586" w:rsidRDefault="00D50343" w:rsidP="001F5FC2">
                            <w:pPr>
                              <w:jc w:val="center"/>
                              <w:rPr>
                                <w:b/>
                                <w:sz w:val="18"/>
                                <w:szCs w:val="18"/>
                              </w:rPr>
                            </w:pPr>
                            <w:r>
                              <w:rPr>
                                <w:b/>
                                <w:sz w:val="18"/>
                                <w:szCs w:val="18"/>
                              </w:rPr>
                              <w:t>Table 1: Logistic regression models of HarvardX registration likelihood for age 13-17 by parent education.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0;margin-top:0;width:243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" filled="f" stroked="f">
                <v:textbox inset=",7.2pt,,7.2pt">
                  <w:txbxContent>
                    <w:p w14:paraId="2785C743" w14:textId="731B9CD2" w:rsidR="00D50343" w:rsidRPr="00520586" w:rsidRDefault="00D50343" w:rsidP="001F5FC2">
                      <w:pPr>
                        <w:jc w:val="center"/>
                        <w:rPr>
                          <w:b/>
                          <w:sz w:val="18"/>
                          <w:szCs w:val="18"/>
                        </w:rPr>
                      </w:pPr>
                      <w:r>
                        <w:rPr>
                          <w:b/>
                          <w:sz w:val="18"/>
                          <w:szCs w:val="18"/>
                        </w:rPr>
                        <w:t>Table 1: Logistic regression models of HarvardX registration likelihood for age 13-17 by parent education.</w:t>
                      </w:r>
                    </w:p>
                  </w:txbxContent>
                </v:textbox>
                <w10:wrap type="topAndBottom"/>
              </v:shape>
            </w:pict>
          </mc:Fallback>
        </mc:AlternateContent>
      </w:r>
      <w:r w:rsidRPr="00DB7EE8">
        <w:rPr>
          <w:rFonts w:ascii="Times" w:hAnsi="Times"/>
        </w:rPr>
        <w:t xml:space="preserve">In Table 1, we present a taxonomy of logistic regression models estimating the likelihood of enrolling in a HarvardX course conditional on age and parental education. In Model 2, </w:t>
      </w:r>
      <w:r w:rsidR="007B7371" w:rsidRPr="00DB7EE8">
        <w:rPr>
          <w:rFonts w:ascii="Times" w:hAnsi="Times"/>
        </w:rPr>
        <w:t>we include dummy variables</w:t>
      </w:r>
      <w:r w:rsidR="00E334F7" w:rsidRPr="00DB7EE8">
        <w:rPr>
          <w:rFonts w:ascii="Times" w:hAnsi="Times"/>
        </w:rPr>
        <w:t xml:space="preserve"> for</w:t>
      </w:r>
      <w:r w:rsidR="007B7371" w:rsidRPr="00DB7EE8">
        <w:rPr>
          <w:rFonts w:ascii="Times" w:hAnsi="Times"/>
        </w:rPr>
        <w:t xml:space="preserve"> age and model th</w:t>
      </w:r>
      <w:r w:rsidRPr="00DB7EE8">
        <w:rPr>
          <w:rFonts w:ascii="Times" w:hAnsi="Times"/>
        </w:rPr>
        <w:t>e effect of parent education without constraining i</w:t>
      </w:r>
      <w:r w:rsidR="007B7371" w:rsidRPr="00DB7EE8">
        <w:rPr>
          <w:rFonts w:ascii="Times" w:hAnsi="Times"/>
        </w:rPr>
        <w:t>ts functional form. We include</w:t>
      </w:r>
      <w:r w:rsidRPr="00DB7EE8">
        <w:rPr>
          <w:rFonts w:ascii="Times" w:hAnsi="Times"/>
        </w:rPr>
        <w:t xml:space="preserve"> dummy variable</w:t>
      </w:r>
      <w:r w:rsidR="007B7371" w:rsidRPr="00DB7EE8">
        <w:rPr>
          <w:rFonts w:ascii="Times" w:hAnsi="Times"/>
        </w:rPr>
        <w:t>s for the</w:t>
      </w:r>
      <w:r w:rsidRPr="00DB7EE8">
        <w:rPr>
          <w:rFonts w:ascii="Times" w:hAnsi="Times"/>
        </w:rPr>
        <w:t xml:space="preserve"> levels of educational attainment shown in Figure 3 (omitting “less than HS” in order to avoid collinearity). In Model 3, we assume a linear effect of parent education. </w:t>
      </w:r>
      <w:r w:rsidR="001B39BC">
        <w:rPr>
          <w:rFonts w:ascii="Times" w:hAnsi="Times"/>
        </w:rPr>
        <w:t>Assuming a linear effect of parent education on the log-odds of registration,</w:t>
      </w:r>
      <w:r w:rsidRPr="00DB7EE8">
        <w:rPr>
          <w:rFonts w:ascii="Times" w:hAnsi="Times"/>
        </w:rPr>
        <w:t xml:space="preserve"> we estimate that </w:t>
      </w:r>
      <w:r w:rsidRPr="00DB7EE8">
        <w:rPr>
          <w:rFonts w:ascii="Times" w:hAnsi="Times"/>
          <w:b/>
        </w:rPr>
        <w:t>o</w:t>
      </w:r>
      <w:r w:rsidRPr="00DB7EE8">
        <w:rPr>
          <w:rFonts w:ascii="Times" w:hAnsi="Times"/>
        </w:rPr>
        <w:t xml:space="preserve">n average, a one-unit increment on our parent education scale is associated with a .851 increase in the log of the odds of HarvardX </w:t>
      </w:r>
      <w:r w:rsidR="005C5E44">
        <w:rPr>
          <w:noProof/>
        </w:rPr>
        <mc:AlternateContent>
          <mc:Choice Requires="wps">
            <w:drawing>
              <wp:anchor distT="0" distB="0" distL="114300" distR="114300" simplePos="0" relativeHeight="251683840" behindDoc="0" locked="0" layoutInCell="1" allowOverlap="1" wp14:anchorId="11F30A11" wp14:editId="7700C27D">
                <wp:simplePos x="0" y="0"/>
                <wp:positionH relativeFrom="column">
                  <wp:posOffset>3314700</wp:posOffset>
                </wp:positionH>
                <wp:positionV relativeFrom="paragraph">
                  <wp:posOffset>2171700</wp:posOffset>
                </wp:positionV>
                <wp:extent cx="3086100" cy="45720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99C40" w14:textId="508DB7ED" w:rsidR="00D50343" w:rsidRPr="00520586" w:rsidRDefault="00D50343" w:rsidP="007E3F3A">
                            <w:pPr>
                              <w:jc w:val="center"/>
                              <w:rPr>
                                <w:b/>
                                <w:sz w:val="18"/>
                                <w:szCs w:val="18"/>
                              </w:rPr>
                            </w:pPr>
                            <w:r>
                              <w:rPr>
                                <w:b/>
                                <w:sz w:val="18"/>
                                <w:szCs w:val="18"/>
                              </w:rPr>
                              <w:t xml:space="preserve">Figure 5: Probability of HarvardX registration by level of parental education for 17 year olds.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61pt;margin-top:171pt;width:24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" filled="f" stroked="f">
                <v:textbox inset=",7.2pt,,7.2pt">
                  <w:txbxContent>
                    <w:p w14:paraId="33A99C40" w14:textId="508DB7ED" w:rsidR="00D50343" w:rsidRPr="00520586" w:rsidRDefault="00D50343" w:rsidP="007E3F3A">
                      <w:pPr>
                        <w:jc w:val="center"/>
                        <w:rPr>
                          <w:b/>
                          <w:sz w:val="18"/>
                          <w:szCs w:val="18"/>
                        </w:rPr>
                      </w:pPr>
                      <w:r>
                        <w:rPr>
                          <w:b/>
                          <w:sz w:val="18"/>
                          <w:szCs w:val="18"/>
                        </w:rPr>
                        <w:t xml:space="preserve">Figure 5: Probability of HarvardX registration by level of parental education for 17 year olds. </w:t>
                      </w:r>
                    </w:p>
                  </w:txbxContent>
                </v:textbox>
                <w10:wrap type="topAndBottom"/>
              </v:shape>
            </w:pict>
          </mc:Fallback>
        </mc:AlternateContent>
      </w:r>
      <w:r w:rsidR="001B39BC">
        <w:rPr>
          <w:rFonts w:ascii="Times" w:hAnsi="Times"/>
        </w:rPr>
        <w:t>registration</w:t>
      </w:r>
      <w:r w:rsidRPr="00DB7EE8">
        <w:rPr>
          <w:rFonts w:ascii="Times" w:hAnsi="Times"/>
        </w:rPr>
        <w:t xml:space="preserve">. </w:t>
      </w:r>
    </w:p>
    <w:p w14:paraId="54E4DAF8" w14:textId="69402EA7" w:rsidR="00977E64" w:rsidRPr="00DB7EE8" w:rsidRDefault="000460AE" w:rsidP="00B27DAE">
      <w:pPr>
        <w:pStyle w:val="FootnoteText"/>
        <w:rPr>
          <w:rFonts w:ascii="Times" w:hAnsi="Times"/>
        </w:rPr>
      </w:pPr>
      <w:r>
        <w:rPr>
          <w:rFonts w:ascii="Times" w:hAnsi="Times"/>
        </w:rPr>
        <w:br/>
      </w:r>
      <w:r w:rsidR="00977E64" w:rsidRPr="00DB7EE8">
        <w:rPr>
          <w:rFonts w:ascii="Times" w:hAnsi="Times"/>
        </w:rPr>
        <w:t>The absolute difference on a probability scale depends on the baseline probability of the enrollee. The simil</w:t>
      </w:r>
      <w:r w:rsidR="00B841CF" w:rsidRPr="00DB7EE8">
        <w:rPr>
          <w:rFonts w:ascii="Times" w:hAnsi="Times"/>
        </w:rPr>
        <w:t>arity of the results of Models 1 and 2</w:t>
      </w:r>
      <w:r w:rsidR="00821776">
        <w:rPr>
          <w:rFonts w:ascii="Times" w:hAnsi="Times"/>
        </w:rPr>
        <w:t>, also shown in Figure 5, demonstrate</w:t>
      </w:r>
      <w:r w:rsidR="00977E64" w:rsidRPr="00DB7EE8">
        <w:rPr>
          <w:rFonts w:ascii="Times" w:hAnsi="Times"/>
        </w:rPr>
        <w:t xml:space="preserve"> that the relationship between registration and parent education is reasonably well approximated by our parent education scale, where we constrain each unit difference on the scale has the same</w:t>
      </w:r>
      <w:r w:rsidR="00275F68" w:rsidRPr="00DB7EE8">
        <w:rPr>
          <w:rFonts w:ascii="Times" w:hAnsi="Times"/>
        </w:rPr>
        <w:t xml:space="preserve"> </w:t>
      </w:r>
      <w:r w:rsidR="00977E64" w:rsidRPr="00DB7EE8">
        <w:rPr>
          <w:rFonts w:ascii="Times" w:hAnsi="Times"/>
        </w:rPr>
        <w:t xml:space="preserve">effect on the relative odds of registration. </w:t>
      </w:r>
    </w:p>
    <w:p w14:paraId="5FB82AF9" w14:textId="454CD374" w:rsidR="004D0AFA" w:rsidRPr="00DB7EE8" w:rsidRDefault="00A003E5" w:rsidP="004D0AFA">
      <w:pPr>
        <w:rPr>
          <w:rFonts w:ascii="Times" w:hAnsi="Times"/>
        </w:rPr>
      </w:pPr>
      <w:r>
        <w:rPr>
          <w:rFonts w:ascii="Times" w:hAnsi="Times"/>
          <w:noProof/>
        </w:rPr>
        <w:drawing>
          <wp:anchor distT="0" distB="0" distL="114300" distR="114300" simplePos="0" relativeHeight="251689984" behindDoc="0" locked="0" layoutInCell="1" allowOverlap="1" wp14:anchorId="65FDF0EE" wp14:editId="2F58E29B">
            <wp:simplePos x="0" y="0"/>
            <wp:positionH relativeFrom="column">
              <wp:posOffset>3314700</wp:posOffset>
            </wp:positionH>
            <wp:positionV relativeFrom="paragraph">
              <wp:posOffset>-6991350</wp:posOffset>
            </wp:positionV>
            <wp:extent cx="3060065" cy="2226945"/>
            <wp:effectExtent l="0" t="0" r="0" b="8255"/>
            <wp:wrapSquare wrapText="bothSides"/>
            <wp:docPr id="28" name="Picture 28" descr="Macintosh HD:Users:johnhansen:Dropbox:HarvardX Summer Team 2014:John and Justin:tables and figures:gray:m3_ped1_prob_gra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ohnhansen:Dropbox:HarvardX Summer Team 2014:John and Justin:tables and figures:gray:m3_ped1_prob_gray.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065"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AFA" w:rsidRPr="00DB7EE8">
        <w:rPr>
          <w:rFonts w:ascii="Times" w:hAnsi="Times"/>
        </w:rPr>
        <w:t>The difference in the probability of enrollment for two seventeen year-olds—where one’s most educated parent has a bachelor’s degree and the other’s most educated parent has a graduate degree—is approximately .0004. While this seems small on an absolute probability scale, the probability of registration for a random seventeen year-old whose most educated has a bac</w:t>
      </w:r>
      <w:r w:rsidR="00C25C36" w:rsidRPr="00DB7EE8">
        <w:rPr>
          <w:rFonts w:ascii="Times" w:hAnsi="Times"/>
        </w:rPr>
        <w:t>helor’s degree is only .0003. Therefore,</w:t>
      </w:r>
      <w:r w:rsidR="004D0AFA" w:rsidRPr="00DB7EE8">
        <w:rPr>
          <w:rFonts w:ascii="Times" w:hAnsi="Times"/>
        </w:rPr>
        <w:t xml:space="preserve"> we find that a one-unit change in parent education is associated with an individual being more than twice as likely to register. </w:t>
      </w:r>
    </w:p>
    <w:p w14:paraId="27F3E15F" w14:textId="3CBD4D57" w:rsidR="00442B83" w:rsidRPr="00DB7EE8" w:rsidRDefault="00A003E5" w:rsidP="00442B83">
      <w:pPr>
        <w:rPr>
          <w:rFonts w:ascii="Times" w:hAnsi="Times"/>
        </w:rPr>
      </w:pPr>
      <w:r w:rsidRPr="00A003E5">
        <w:rPr>
          <w:rFonts w:ascii="Times" w:hAnsi="Times"/>
        </w:rPr>
        <w:drawing>
          <wp:anchor distT="0" distB="0" distL="114300" distR="114300" simplePos="0" relativeHeight="251696128" behindDoc="0" locked="0" layoutInCell="1" allowOverlap="1" wp14:anchorId="4843CFFC" wp14:editId="742FEFF0">
            <wp:simplePos x="0" y="0"/>
            <wp:positionH relativeFrom="column">
              <wp:posOffset>0</wp:posOffset>
            </wp:positionH>
            <wp:positionV relativeFrom="paragraph">
              <wp:posOffset>-5068570</wp:posOffset>
            </wp:positionV>
            <wp:extent cx="3063240" cy="3008630"/>
            <wp:effectExtent l="0" t="0" r="0" b="0"/>
            <wp:wrapTopAndBottom/>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3240" cy="300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83" w:rsidRPr="00DB7EE8">
        <w:rPr>
          <w:rFonts w:ascii="Times" w:hAnsi="Times"/>
        </w:rPr>
        <w:t xml:space="preserve">To interpret our model in an alternative but equivalent way, we estimate that for every 100,000 seventeen year-olds in the United States who do not have a parent who graduated from high school, 2 would register for HarvardX course in our dataset. Among 100,000 random seventeen year-olds whose most educated parent has a high school diploma, approximately 5 would register. For 100,000 whose parents have an associate’s, bachelor’s, and graduate degree, the respective estimates are approximately 12, 29, and 67. </w:t>
      </w:r>
      <w:r w:rsidR="00442B83" w:rsidRPr="00DB7EE8">
        <w:rPr>
          <w:rFonts w:ascii="Times" w:hAnsi="Times"/>
          <w:i/>
        </w:rPr>
        <w:t>If there were an equal number of seventeen year-olds whose most educated parent had a high school diploma and a bachelor’s degree</w:t>
      </w:r>
      <w:r w:rsidR="00442B83" w:rsidRPr="00DB7EE8">
        <w:rPr>
          <w:rFonts w:ascii="Times" w:hAnsi="Times"/>
        </w:rPr>
        <w:t>, we would estimate that more than five times as many registrants’ most educated parent would have a BA. However, HarvardX registrants with well-educated parents do not actually outnumber those with less-educated parents by such dramatic margi</w:t>
      </w:r>
      <w:r w:rsidR="008D38AE" w:rsidRPr="00DB7EE8">
        <w:rPr>
          <w:rFonts w:ascii="Times" w:hAnsi="Times"/>
        </w:rPr>
        <w:t>ns because, as shown in Figure 4</w:t>
      </w:r>
      <w:r w:rsidR="00442B83" w:rsidRPr="00DB7EE8">
        <w:rPr>
          <w:rFonts w:ascii="Times" w:hAnsi="Times"/>
        </w:rPr>
        <w:t>, it is far more common in the US for parents of teenagers to have a high school degree compared to a p</w:t>
      </w:r>
      <w:r w:rsidR="00C25C36" w:rsidRPr="00DB7EE8">
        <w:rPr>
          <w:rFonts w:ascii="Times" w:hAnsi="Times"/>
        </w:rPr>
        <w:t>ostsecondary degree. F</w:t>
      </w:r>
      <w:r w:rsidR="00442B83" w:rsidRPr="00DB7EE8">
        <w:rPr>
          <w:rFonts w:ascii="Times" w:hAnsi="Times"/>
        </w:rPr>
        <w:t xml:space="preserve">ailing to take into account the underlying distribution of educational attainment in the US would understate how unrepresentative the parents of adolescent HarvardX registrants are compared to the US in terms of educational attainment. </w:t>
      </w:r>
    </w:p>
    <w:p w14:paraId="5219B18F" w14:textId="6517918C" w:rsidR="00442B83" w:rsidRPr="00DB7EE8" w:rsidRDefault="00467FC6" w:rsidP="00442B83">
      <w:pPr>
        <w:rPr>
          <w:rFonts w:ascii="Times" w:hAnsi="Times"/>
        </w:rPr>
      </w:pPr>
      <w:r>
        <w:rPr>
          <w:rFonts w:ascii="Times" w:hAnsi="Times"/>
        </w:rPr>
        <w:t>In Table 2, we present</w:t>
      </w:r>
      <w:r w:rsidR="00442B83" w:rsidRPr="00DB7EE8">
        <w:rPr>
          <w:rFonts w:ascii="Times" w:hAnsi="Times"/>
        </w:rPr>
        <w:t xml:space="preserve"> a taxonomy of logistic regression models predicting HarvardX registration using the neighborhood median income measure from the Esri dataset. Unlike our parent education models, we don</w:t>
      </w:r>
      <w:r w:rsidR="00B922B0" w:rsidRPr="00DB7EE8">
        <w:rPr>
          <w:rFonts w:ascii="Times" w:hAnsi="Times"/>
        </w:rPr>
        <w:t>’t exclude older registrants.</w:t>
      </w:r>
      <w:r w:rsidR="00C25C36" w:rsidRPr="00DB7EE8">
        <w:rPr>
          <w:rFonts w:ascii="Times" w:hAnsi="Times"/>
        </w:rPr>
        <w:t xml:space="preserve"> </w:t>
      </w:r>
      <w:r w:rsidR="00B922B0" w:rsidRPr="00DB7EE8">
        <w:rPr>
          <w:rFonts w:ascii="Times" w:hAnsi="Times"/>
        </w:rPr>
        <w:t xml:space="preserve"> </w:t>
      </w:r>
      <w:r>
        <w:rPr>
          <w:rFonts w:ascii="Times" w:hAnsi="Times"/>
        </w:rPr>
        <w:t xml:space="preserve">In Model 1, we constrain the predictive effect of neighborhood income to be the same for all age groups. </w:t>
      </w:r>
      <w:r w:rsidR="00B922B0" w:rsidRPr="00DB7EE8">
        <w:rPr>
          <w:rFonts w:ascii="Times" w:hAnsi="Times"/>
        </w:rPr>
        <w:t>I</w:t>
      </w:r>
      <w:r w:rsidR="00442B83" w:rsidRPr="00DB7EE8">
        <w:rPr>
          <w:rFonts w:ascii="Times" w:hAnsi="Times"/>
        </w:rPr>
        <w:t xml:space="preserve">n </w:t>
      </w:r>
      <w:r w:rsidR="00B922B0" w:rsidRPr="00DB7EE8">
        <w:rPr>
          <w:rFonts w:ascii="Times" w:hAnsi="Times"/>
        </w:rPr>
        <w:t>Model 2</w:t>
      </w:r>
      <w:r w:rsidR="00442B83" w:rsidRPr="00DB7EE8">
        <w:rPr>
          <w:rFonts w:ascii="Times" w:hAnsi="Times"/>
        </w:rPr>
        <w:t xml:space="preserve">, we allow the effect of our predictor to vary across age groups, which we define as: 13-17, 18-24, 25-29, 30-39, 40-49, 50-59 and 60-69. In terms of log-odds, we estimate: </w:t>
      </w:r>
    </w:p>
    <w:p w14:paraId="3EBD8FB2" w14:textId="61E963C4" w:rsidR="00442B83" w:rsidRDefault="000F3841" w:rsidP="00442B83">
      <w:pPr>
        <w:jc w:val="center"/>
        <w:rPr>
          <w:rFonts w:ascii="Times" w:hAnsi="Times"/>
          <w:sz w:val="18"/>
          <w:szCs w:val="18"/>
        </w:rPr>
      </w:pPr>
      <m:oMath>
        <m:r>
          <w:rPr>
            <w:rFonts w:ascii="Cambria Math" w:hAnsi="Cambria Math"/>
            <w:sz w:val="18"/>
            <w:szCs w:val="18"/>
          </w:rPr>
          <m:t>logit(pr</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reg</m:t>
                </m:r>
              </m:e>
              <m:sub>
                <m:r>
                  <w:rPr>
                    <w:rFonts w:ascii="Cambria Math" w:hAnsi="Cambria Math"/>
                    <w:sz w:val="18"/>
                    <w:szCs w:val="18"/>
                  </w:rPr>
                  <m:t>ijk</m:t>
                </m:r>
              </m:sub>
            </m:sSub>
            <m:r>
              <w:rPr>
                <w:rFonts w:ascii="Cambria Math" w:hAnsi="Cambria Math"/>
                <w:sz w:val="18"/>
                <w:szCs w:val="18"/>
              </w:rPr>
              <m:t xml:space="preserve">=1 </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ijk</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1</m:t>
            </m:r>
          </m:sub>
        </m:sSub>
        <m:r>
          <w:rPr>
            <w:rFonts w:ascii="Cambria Math" w:hAnsi="Cambria Math"/>
            <w:sz w:val="18"/>
            <w:szCs w:val="18"/>
          </w:rPr>
          <m:t>(med_hin</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k</m:t>
            </m:r>
          </m:sub>
        </m:sSub>
        <m:r>
          <w:rPr>
            <w:rFonts w:ascii="Cambria Math" w:hAnsi="Cambria Math"/>
            <w:sz w:val="18"/>
            <w:szCs w:val="18"/>
          </w:rPr>
          <m:t>(age_grou</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k</m:t>
            </m:r>
          </m:sub>
        </m:sSub>
        <m:r>
          <w:rPr>
            <w:rFonts w:ascii="Cambria Math" w:hAnsi="Cambria Math"/>
            <w:sz w:val="18"/>
            <w:szCs w:val="18"/>
          </w:rPr>
          <m:t>*med_hin</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j</m:t>
            </m:r>
          </m:sub>
        </m:sSub>
      </m:oMath>
      <w:r w:rsidR="00442B83" w:rsidRPr="00DB7EE8">
        <w:rPr>
          <w:rFonts w:ascii="Times" w:hAnsi="Times"/>
          <w:sz w:val="18"/>
          <w:szCs w:val="18"/>
        </w:rPr>
        <w:t>,</w:t>
      </w:r>
    </w:p>
    <w:p w14:paraId="7970F681" w14:textId="400C4D29" w:rsidR="00C26FEE" w:rsidRPr="00467FC6" w:rsidRDefault="0015205F" w:rsidP="00467FC6">
      <w:pPr>
        <w:rPr>
          <w:rFonts w:ascii="Times" w:hAnsi="Times"/>
        </w:rPr>
      </w:pPr>
      <w:r>
        <w:rPr>
          <w:rFonts w:ascii="Times" w:hAnsi="Times"/>
          <w:noProof/>
        </w:rPr>
        <w:drawing>
          <wp:anchor distT="0" distB="0" distL="114300" distR="114300" simplePos="0" relativeHeight="251694080" behindDoc="0" locked="0" layoutInCell="1" allowOverlap="1" wp14:anchorId="4BB6EF24" wp14:editId="5ED582EB">
            <wp:simplePos x="0" y="0"/>
            <wp:positionH relativeFrom="column">
              <wp:posOffset>0</wp:posOffset>
            </wp:positionH>
            <wp:positionV relativeFrom="paragraph">
              <wp:posOffset>457200</wp:posOffset>
            </wp:positionV>
            <wp:extent cx="3063240" cy="3833495"/>
            <wp:effectExtent l="0" t="0" r="0" b="1905"/>
            <wp:wrapSquare wrapText="bothSides"/>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3240" cy="3833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43C76A96" wp14:editId="1E500677">
                <wp:simplePos x="0" y="0"/>
                <wp:positionH relativeFrom="column">
                  <wp:posOffset>0</wp:posOffset>
                </wp:positionH>
                <wp:positionV relativeFrom="paragraph">
                  <wp:posOffset>0</wp:posOffset>
                </wp:positionV>
                <wp:extent cx="3086100" cy="457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3C795" w14:textId="0ECAE535" w:rsidR="00D50343" w:rsidRPr="00520586" w:rsidRDefault="00D50343" w:rsidP="00C4243D">
                            <w:pPr>
                              <w:jc w:val="center"/>
                              <w:rPr>
                                <w:b/>
                                <w:sz w:val="18"/>
                                <w:szCs w:val="18"/>
                              </w:rPr>
                            </w:pPr>
                            <w:r>
                              <w:rPr>
                                <w:b/>
                                <w:sz w:val="18"/>
                                <w:szCs w:val="18"/>
                              </w:rPr>
                              <w:t>Table 2: Logistic regression models of HarvardX registration likelihood by age and neighborhood income.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0;margin-top:0;width:24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" filled="f" stroked="f">
                <v:textbox inset=",7.2pt,,7.2pt">
                  <w:txbxContent>
                    <w:p w14:paraId="78E3C795" w14:textId="0ECAE535" w:rsidR="00D50343" w:rsidRPr="00520586" w:rsidRDefault="00D50343" w:rsidP="00C4243D">
                      <w:pPr>
                        <w:jc w:val="center"/>
                        <w:rPr>
                          <w:b/>
                          <w:sz w:val="18"/>
                          <w:szCs w:val="18"/>
                        </w:rPr>
                      </w:pPr>
                      <w:r>
                        <w:rPr>
                          <w:b/>
                          <w:sz w:val="18"/>
                          <w:szCs w:val="18"/>
                        </w:rPr>
                        <w:t>Table 2: Logistic regression models of HarvardX registration likelihood by age and neighborhood income.</w:t>
                      </w:r>
                    </w:p>
                  </w:txbxContent>
                </v:textbox>
                <w10:wrap type="square"/>
              </v:shape>
            </w:pict>
          </mc:Fallback>
        </mc:AlternateContent>
      </w:r>
      <w:r w:rsidR="00467FC6" w:rsidRPr="00DB7EE8">
        <w:rPr>
          <w:rFonts w:ascii="Times" w:hAnsi="Times"/>
        </w:rPr>
        <w:t xml:space="preserve">where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467FC6" w:rsidRPr="00DB7EE8">
        <w:rPr>
          <w:rFonts w:ascii="Times" w:hAnsi="Times"/>
        </w:rPr>
        <w:t xml:space="preserve"> is the difference in the log-odds of registration attributable to neighborhood median income for the </w:t>
      </w:r>
      <w:r w:rsidR="00745337">
        <w:rPr>
          <w:rFonts w:ascii="Times" w:hAnsi="Times"/>
          <w:noProof/>
        </w:rPr>
        <w:drawing>
          <wp:anchor distT="0" distB="0" distL="114300" distR="114300" simplePos="0" relativeHeight="251693056" behindDoc="0" locked="0" layoutInCell="1" allowOverlap="1" wp14:anchorId="26933158" wp14:editId="51508806">
            <wp:simplePos x="0" y="0"/>
            <wp:positionH relativeFrom="column">
              <wp:posOffset>3314700</wp:posOffset>
            </wp:positionH>
            <wp:positionV relativeFrom="paragraph">
              <wp:posOffset>0</wp:posOffset>
            </wp:positionV>
            <wp:extent cx="3060065" cy="2226945"/>
            <wp:effectExtent l="0" t="0" r="0" b="8255"/>
            <wp:wrapSquare wrapText="bothSides"/>
            <wp:docPr id="19" name="Picture 19" descr="Macintosh HD:Users:johnhansen:Dropbox:HarvardX Summer Team 2014:John and Justin:tables and figures:gray:m3_med_hinc_prob_gra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hnhansen:Dropbox:HarvardX Summer Team 2014:John and Justin:tables and figures:gray:m3_med_hinc_prob_gray.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065"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FC6" w:rsidRPr="00DB7EE8">
        <w:rPr>
          <w:rFonts w:ascii="Times" w:hAnsi="Times"/>
        </w:rPr>
        <w:t xml:space="preserve">baseline age group (13-17), and </w:t>
      </w:r>
      <m:oMath>
        <m:sSub>
          <m:sSubPr>
            <m:ctrlPr>
              <w:rPr>
                <w:rFonts w:ascii="Cambria Math" w:hAnsi="Cambria Math"/>
                <w:i/>
              </w:rPr>
            </m:ctrlPr>
          </m:sSubPr>
          <m:e>
            <m:r>
              <w:rPr>
                <w:rFonts w:ascii="Cambria Math" w:hAnsi="Cambria Math"/>
              </w:rPr>
              <m:t>β</m:t>
            </m:r>
          </m:e>
          <m:sub>
            <m:r>
              <w:rPr>
                <w:rFonts w:ascii="Cambria Math" w:hAnsi="Cambria Math"/>
              </w:rPr>
              <m:t>k</m:t>
            </m:r>
          </m:sub>
        </m:sSub>
      </m:oMath>
      <w:r w:rsidR="00467FC6" w:rsidRPr="00DB7EE8">
        <w:rPr>
          <w:rFonts w:ascii="Times" w:hAnsi="Times"/>
        </w:rPr>
        <w:t xml:space="preserve"> is the differential predictive effect of neighborhood compared to the baseline age group. </w:t>
      </w:r>
      <m:oMath>
        <m:sSub>
          <m:sSubPr>
            <m:ctrlPr>
              <w:rPr>
                <w:rFonts w:ascii="Cambria Math" w:hAnsi="Cambria Math"/>
                <w:i/>
              </w:rPr>
            </m:ctrlPr>
          </m:sSubPr>
          <m:e>
            <m:r>
              <w:rPr>
                <w:rFonts w:ascii="Cambria Math" w:hAnsi="Cambria Math"/>
              </w:rPr>
              <m:t>δ</m:t>
            </m:r>
          </m:e>
          <m:sub>
            <m:r>
              <w:rPr>
                <w:rFonts w:ascii="Cambria Math" w:hAnsi="Cambria Math"/>
              </w:rPr>
              <m:t>j</m:t>
            </m:r>
          </m:sub>
        </m:sSub>
      </m:oMath>
      <w:r w:rsidR="00467FC6" w:rsidRPr="00DB7EE8">
        <w:rPr>
          <w:rFonts w:ascii="Times" w:hAnsi="Times"/>
        </w:rPr>
        <w:t xml:space="preserve"> is the estimated difference in the relative odds of registration attributable to age. </w:t>
      </w:r>
      <w:r w:rsidR="000F17A8" w:rsidRPr="00DB7EE8">
        <w:rPr>
          <w:rFonts w:ascii="Times" w:hAnsi="Times"/>
        </w:rPr>
        <w:t>Model 1 only includes a dummy variable for each age from 13-69, and the median household income in an individual’s census block group. In Model 2, we allow the predictive effect of neighborhood median income to vary across age groups in order to account for heterogeneity in its effect</w:t>
      </w:r>
      <w:r w:rsidR="000F17A8" w:rsidRPr="000F17A8">
        <w:rPr>
          <w:rFonts w:ascii="Times" w:hAnsi="Times"/>
        </w:rPr>
        <w:t xml:space="preserve"> </w:t>
      </w:r>
      <w:r w:rsidR="000F17A8">
        <w:rPr>
          <w:rFonts w:ascii="Times" w:hAnsi="Times"/>
        </w:rPr>
        <w:t>a</w:t>
      </w:r>
      <w:r w:rsidR="000F17A8" w:rsidRPr="00DB7EE8">
        <w:rPr>
          <w:rFonts w:ascii="Times" w:hAnsi="Times"/>
        </w:rPr>
        <w:t>cross age groups.</w:t>
      </w:r>
    </w:p>
    <w:p w14:paraId="6E1B8891" w14:textId="375F6887" w:rsidR="00EC268A" w:rsidRPr="00DB7EE8" w:rsidRDefault="00745337" w:rsidP="00057A10">
      <w:pPr>
        <w:rPr>
          <w:rFonts w:ascii="Times" w:hAnsi="Times"/>
        </w:rPr>
      </w:pPr>
      <w:r>
        <w:rPr>
          <w:noProof/>
        </w:rPr>
        <mc:AlternateContent>
          <mc:Choice Requires="wps">
            <w:drawing>
              <wp:anchor distT="0" distB="0" distL="114300" distR="114300" simplePos="0" relativeHeight="251678720" behindDoc="0" locked="0" layoutInCell="1" allowOverlap="1" wp14:anchorId="27592BD5" wp14:editId="71362B4F">
                <wp:simplePos x="0" y="0"/>
                <wp:positionH relativeFrom="column">
                  <wp:posOffset>3314700</wp:posOffset>
                </wp:positionH>
                <wp:positionV relativeFrom="paragraph">
                  <wp:posOffset>-3715385</wp:posOffset>
                </wp:positionV>
                <wp:extent cx="3086100" cy="457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91F6C" w14:textId="4E7A3C53" w:rsidR="00D50343" w:rsidRPr="00520586" w:rsidRDefault="00D50343" w:rsidP="001F5FC2">
                            <w:pPr>
                              <w:jc w:val="center"/>
                              <w:rPr>
                                <w:b/>
                                <w:sz w:val="18"/>
                                <w:szCs w:val="18"/>
                              </w:rPr>
                            </w:pPr>
                            <w:r>
                              <w:rPr>
                                <w:b/>
                                <w:sz w:val="18"/>
                                <w:szCs w:val="18"/>
                              </w:rPr>
                              <w:t xml:space="preserve">Figure 6: Fitted probability of HarvardX registration for prototypical 17 year-old by median neighborhood income.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61pt;margin-top:-292.5pt;width:24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" filled="f" stroked="f">
                <v:textbox inset=",7.2pt,,7.2pt">
                  <w:txbxContent>
                    <w:p w14:paraId="5CF91F6C" w14:textId="4E7A3C53" w:rsidR="00D50343" w:rsidRPr="00520586" w:rsidRDefault="00D50343" w:rsidP="001F5FC2">
                      <w:pPr>
                        <w:jc w:val="center"/>
                        <w:rPr>
                          <w:b/>
                          <w:sz w:val="18"/>
                          <w:szCs w:val="18"/>
                        </w:rPr>
                      </w:pPr>
                      <w:r>
                        <w:rPr>
                          <w:b/>
                          <w:sz w:val="18"/>
                          <w:szCs w:val="18"/>
                        </w:rPr>
                        <w:t xml:space="preserve">Figure 6: Fitted probability of HarvardX registration for prototypical 17 year-old by median neighborhood income.  </w:t>
                      </w:r>
                    </w:p>
                  </w:txbxContent>
                </v:textbox>
                <w10:wrap type="square"/>
              </v:shape>
            </w:pict>
          </mc:Fallback>
        </mc:AlternateContent>
      </w:r>
      <w:r w:rsidR="00442B83" w:rsidRPr="00DB7EE8">
        <w:rPr>
          <w:rFonts w:ascii="Times" w:hAnsi="Times"/>
        </w:rPr>
        <w:t>For two seventeen year olds, a $1,000 increment in neighborhood median income is associated with a .0135 increase in the log-odds of registration. The mean of census block group median income is the US is $57,600, and standard deviation of neighborhood median income is $30,000. If seventeen year-olds were uniformly distributed with respect to neighborhood median income, we would estimate that more than twice as many individuals residing in neighborhoods with $117,000 median incomes would register compared to neighborhoods with median incomes around the national average. Once again, though,</w:t>
      </w:r>
      <w:r w:rsidR="00442B83" w:rsidRPr="00DB7EE8">
        <w:rPr>
          <w:rFonts w:ascii="Times" w:hAnsi="Times"/>
          <w:i/>
        </w:rPr>
        <w:t xml:space="preserve"> </w:t>
      </w:r>
      <w:r w:rsidR="00442B83" w:rsidRPr="00DB7EE8">
        <w:rPr>
          <w:rFonts w:ascii="Times" w:hAnsi="Times"/>
        </w:rPr>
        <w:t xml:space="preserve">this does not imply that HarvardX registrants from high-earning neighborhoods actually outnumber those from typical neighborhoods by these implied margins </w:t>
      </w:r>
      <w:r w:rsidR="00C25C36" w:rsidRPr="00DB7EE8">
        <w:rPr>
          <w:rFonts w:ascii="Times" w:hAnsi="Times"/>
        </w:rPr>
        <w:t>because, as shown in Figure 6</w:t>
      </w:r>
      <w:r w:rsidR="00442B83" w:rsidRPr="00DB7EE8">
        <w:rPr>
          <w:rFonts w:ascii="Times" w:hAnsi="Times"/>
        </w:rPr>
        <w:t xml:space="preserve">, it is far more common in the US for an individual’s neighborhood median income to be around $57,000 compared to $117,000. </w:t>
      </w:r>
    </w:p>
    <w:p w14:paraId="0BD22D45" w14:textId="0CA64F0C" w:rsidR="00373C3A" w:rsidRPr="00DB7EE8" w:rsidRDefault="00442B83" w:rsidP="00442B83">
      <w:pPr>
        <w:rPr>
          <w:rFonts w:ascii="Times" w:hAnsi="Times"/>
        </w:rPr>
      </w:pPr>
      <w:r w:rsidRPr="00DB7EE8">
        <w:rPr>
          <w:rFonts w:ascii="Times" w:hAnsi="Times"/>
        </w:rPr>
        <w:t xml:space="preserve">Further, we can use the coefficients from the parent education and neighborhood income models to compare the effects of these two SES measures on a similar scale: their association with the likelihood of HarvardX registration for adolescents. Using the coefficients from the parent education and neighborhood income models, we estimate that a neighborhood median income difference of approximately $63,000 (.851/.0135) is comparable to a one unit difference in parent education. We don’t intend to argue for the relative importance of one predictor over the other. Instead, we present this to emphasize a virtue of the linearity of the log-odds scale for comparing predictive effects in the heterogeneous MOOC context. </w:t>
      </w:r>
    </w:p>
    <w:p w14:paraId="2B452F75" w14:textId="3DF93E2B" w:rsidR="003D7711" w:rsidRPr="00DB7EE8" w:rsidRDefault="00E413CF" w:rsidP="00442B83">
      <w:pPr>
        <w:rPr>
          <w:rFonts w:ascii="Times" w:hAnsi="Times"/>
        </w:rPr>
      </w:pPr>
      <w:r>
        <w:rPr>
          <w:rFonts w:ascii="Times" w:hAnsi="Times"/>
        </w:rPr>
        <w:t>Finally, i</w:t>
      </w:r>
      <w:r w:rsidR="00251EA8">
        <w:rPr>
          <w:rFonts w:ascii="Times" w:hAnsi="Times"/>
        </w:rPr>
        <w:t xml:space="preserve">n order to evaluate whether these aggregate findings are consistent at the course level, </w:t>
      </w:r>
      <w:r w:rsidR="003D7711" w:rsidRPr="00DB7EE8">
        <w:rPr>
          <w:rFonts w:ascii="Times" w:hAnsi="Times"/>
        </w:rPr>
        <w:t xml:space="preserve">we </w:t>
      </w:r>
      <w:r w:rsidR="00442B83" w:rsidRPr="00DB7EE8">
        <w:rPr>
          <w:rFonts w:ascii="Times" w:hAnsi="Times"/>
        </w:rPr>
        <w:t>model t</w:t>
      </w:r>
      <w:r w:rsidR="003D7711" w:rsidRPr="00DB7EE8">
        <w:rPr>
          <w:rFonts w:ascii="Times" w:hAnsi="Times"/>
        </w:rPr>
        <w:t>he association between HarvardX registration and</w:t>
      </w:r>
      <w:r w:rsidR="00442B83" w:rsidRPr="00DB7EE8">
        <w:rPr>
          <w:rFonts w:ascii="Times" w:hAnsi="Times"/>
        </w:rPr>
        <w:t xml:space="preserve"> neighborhood income separately for each </w:t>
      </w:r>
      <w:r w:rsidR="00832AA7" w:rsidRPr="00DB7EE8">
        <w:rPr>
          <w:rFonts w:ascii="Times" w:hAnsi="Times"/>
        </w:rPr>
        <w:t xml:space="preserve">of the nine </w:t>
      </w:r>
      <w:r w:rsidR="00442B83" w:rsidRPr="00DB7EE8">
        <w:rPr>
          <w:rFonts w:ascii="Times" w:hAnsi="Times"/>
        </w:rPr>
        <w:t>course</w:t>
      </w:r>
      <w:r w:rsidR="00832AA7" w:rsidRPr="00DB7EE8">
        <w:rPr>
          <w:rFonts w:ascii="Times" w:hAnsi="Times"/>
        </w:rPr>
        <w:t>s in our dataset</w:t>
      </w:r>
      <w:r w:rsidR="003D7711" w:rsidRPr="00DB7EE8">
        <w:rPr>
          <w:rFonts w:ascii="Times" w:hAnsi="Times"/>
        </w:rPr>
        <w:t xml:space="preserve">. </w:t>
      </w:r>
      <w:r w:rsidR="00832AA7" w:rsidRPr="00DB7EE8">
        <w:rPr>
          <w:rFonts w:ascii="Times" w:hAnsi="Times"/>
        </w:rPr>
        <w:t>The result will be an estimate of each course’s “SES-neutrality” on a constant scale,</w:t>
      </w:r>
      <w:r w:rsidR="00E103B2" w:rsidRPr="00DB7EE8">
        <w:rPr>
          <w:rFonts w:ascii="Times" w:hAnsi="Times"/>
        </w:rPr>
        <w:t xml:space="preserve"> including variability by age group.</w:t>
      </w:r>
      <w:r w:rsidR="00832AA7" w:rsidRPr="00DB7EE8">
        <w:rPr>
          <w:rFonts w:ascii="Times" w:hAnsi="Times"/>
        </w:rPr>
        <w:t xml:space="preserve"> </w:t>
      </w:r>
      <w:r w:rsidR="003D7711" w:rsidRPr="00DB7EE8">
        <w:rPr>
          <w:rFonts w:ascii="Times" w:hAnsi="Times"/>
        </w:rPr>
        <w:t xml:space="preserve">We could obtain substantively </w:t>
      </w:r>
      <w:r w:rsidR="003971CB" w:rsidRPr="00DB7EE8">
        <w:rPr>
          <w:rFonts w:ascii="Times" w:hAnsi="Times"/>
        </w:rPr>
        <w:t xml:space="preserve">the same </w:t>
      </w:r>
      <w:r w:rsidR="003D7711" w:rsidRPr="00DB7EE8">
        <w:rPr>
          <w:rFonts w:ascii="Times" w:hAnsi="Times"/>
        </w:rPr>
        <w:t xml:space="preserve">results </w:t>
      </w:r>
      <w:r w:rsidR="00E103B2" w:rsidRPr="00DB7EE8">
        <w:rPr>
          <w:rFonts w:ascii="Times" w:hAnsi="Times"/>
        </w:rPr>
        <w:t xml:space="preserve">with respect to the courses’ </w:t>
      </w:r>
      <w:r w:rsidR="003971CB" w:rsidRPr="00DB7EE8">
        <w:rPr>
          <w:rFonts w:ascii="Times" w:hAnsi="Times"/>
        </w:rPr>
        <w:t xml:space="preserve"> “SES-neutrality” </w:t>
      </w:r>
      <w:r w:rsidR="00E103B2" w:rsidRPr="00DB7EE8">
        <w:rPr>
          <w:rFonts w:ascii="Times" w:hAnsi="Times"/>
        </w:rPr>
        <w:t xml:space="preserve">relative to one another </w:t>
      </w:r>
      <w:r w:rsidR="003D7711" w:rsidRPr="00DB7EE8">
        <w:rPr>
          <w:rFonts w:ascii="Times" w:hAnsi="Times"/>
        </w:rPr>
        <w:t xml:space="preserve">from either of the following models: </w:t>
      </w:r>
    </w:p>
    <w:p w14:paraId="72E38005" w14:textId="224D2158" w:rsidR="003971CB" w:rsidRPr="00DB7EE8" w:rsidRDefault="003971CB" w:rsidP="003971CB">
      <w:pPr>
        <w:jc w:val="center"/>
        <w:rPr>
          <w:rFonts w:ascii="Times" w:hAnsi="Times"/>
          <w:sz w:val="18"/>
          <w:szCs w:val="18"/>
        </w:rPr>
      </w:pPr>
      <m:oMath>
        <m:r>
          <w:rPr>
            <w:rFonts w:ascii="Cambria Math" w:hAnsi="Cambria Math"/>
            <w:sz w:val="18"/>
            <w:szCs w:val="18"/>
          </w:rPr>
          <m:t>med_hin</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ijk</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1</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HX</m:t>
                </m:r>
              </m:e>
              <m:sub>
                <m:r>
                  <w:rPr>
                    <w:rFonts w:ascii="Cambria Math" w:hAnsi="Cambria Math"/>
                    <w:sz w:val="18"/>
                    <w:szCs w:val="18"/>
                  </w:rPr>
                  <m:t>i</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k</m:t>
            </m:r>
          </m:sub>
        </m:sSub>
        <m:d>
          <m:dPr>
            <m:ctrlPr>
              <w:rPr>
                <w:rFonts w:ascii="Cambria Math" w:hAnsi="Cambria Math"/>
                <w:i/>
                <w:sz w:val="18"/>
                <w:szCs w:val="18"/>
              </w:rPr>
            </m:ctrlPr>
          </m:dPr>
          <m:e>
            <m:r>
              <w:rPr>
                <w:rFonts w:ascii="Cambria Math" w:hAnsi="Cambria Math"/>
                <w:sz w:val="18"/>
                <w:szCs w:val="18"/>
              </w:rPr>
              <m:t>age_grou</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k</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HX</m:t>
                </m:r>
              </m:e>
              <m:sub>
                <m:r>
                  <w:rPr>
                    <w:rFonts w:ascii="Cambria Math" w:hAnsi="Cambria Math"/>
                    <w:sz w:val="18"/>
                    <w:szCs w:val="18"/>
                  </w:rPr>
                  <m:t>i</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ϵ</m:t>
            </m:r>
          </m:e>
          <m:sub>
            <m:r>
              <w:rPr>
                <w:rFonts w:ascii="Cambria Math" w:hAnsi="Cambria Math"/>
                <w:sz w:val="18"/>
                <w:szCs w:val="18"/>
              </w:rPr>
              <m:t>i</m:t>
            </m:r>
          </m:sub>
        </m:sSub>
      </m:oMath>
      <w:r w:rsidRPr="00DB7EE8">
        <w:rPr>
          <w:rFonts w:ascii="Times" w:hAnsi="Times"/>
          <w:sz w:val="18"/>
          <w:szCs w:val="18"/>
        </w:rPr>
        <w:t>,</w:t>
      </w:r>
    </w:p>
    <w:p w14:paraId="12534992" w14:textId="4F7AF295" w:rsidR="003D7711" w:rsidRPr="00DB7EE8" w:rsidRDefault="003D7711" w:rsidP="003D7711">
      <w:pPr>
        <w:jc w:val="center"/>
        <w:rPr>
          <w:rFonts w:ascii="Times" w:hAnsi="Times"/>
          <w:sz w:val="18"/>
          <w:szCs w:val="18"/>
        </w:rPr>
      </w:pPr>
      <m:oMath>
        <m:r>
          <w:rPr>
            <w:rFonts w:ascii="Cambria Math" w:hAnsi="Cambria Math"/>
            <w:sz w:val="18"/>
            <w:szCs w:val="18"/>
          </w:rPr>
          <m:t>logit(pr</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reg</m:t>
                </m:r>
              </m:e>
              <m:sub>
                <m:r>
                  <w:rPr>
                    <w:rFonts w:ascii="Cambria Math" w:hAnsi="Cambria Math"/>
                    <w:sz w:val="18"/>
                    <w:szCs w:val="18"/>
                  </w:rPr>
                  <m:t>ijk</m:t>
                </m:r>
              </m:sub>
            </m:sSub>
            <m:r>
              <w:rPr>
                <w:rFonts w:ascii="Cambria Math" w:hAnsi="Cambria Math"/>
                <w:sz w:val="18"/>
                <w:szCs w:val="18"/>
              </w:rPr>
              <m:t xml:space="preserve">=1 </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ijk</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med_hinc</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k</m:t>
            </m:r>
          </m:sub>
        </m:sSub>
        <m:r>
          <w:rPr>
            <w:rFonts w:ascii="Cambria Math" w:hAnsi="Cambria Math"/>
            <w:sz w:val="18"/>
            <w:szCs w:val="18"/>
          </w:rPr>
          <m:t>(age_grou</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k</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med_hinc</m:t>
            </m:r>
          </m:e>
          <m:sub>
            <m:r>
              <w:rPr>
                <w:rFonts w:ascii="Cambria Math" w:hAnsi="Cambria Math"/>
                <w:sz w:val="18"/>
                <w:szCs w:val="18"/>
              </w:rPr>
              <m:t>i</m:t>
            </m:r>
          </m:sub>
        </m:sSub>
        <m:r>
          <w:rPr>
            <w:rFonts w:ascii="Cambria Math" w:hAnsi="Cambria Math"/>
            <w:sz w:val="18"/>
            <w:szCs w:val="18"/>
          </w:rPr>
          <m:t>)</m:t>
        </m:r>
      </m:oMath>
      <w:r w:rsidR="004A1612">
        <w:rPr>
          <w:rFonts w:ascii="Times" w:hAnsi="Times"/>
          <w:sz w:val="18"/>
          <w:szCs w:val="18"/>
        </w:rPr>
        <w:t>.</w:t>
      </w:r>
    </w:p>
    <w:p w14:paraId="258BA8A3" w14:textId="711CEDF6" w:rsidR="003048FB" w:rsidRDefault="0023556C" w:rsidP="00C90CE4">
      <w:pPr>
        <w:rPr>
          <w:rFonts w:ascii="Times" w:hAnsi="Times"/>
        </w:rPr>
      </w:pPr>
      <w:r>
        <w:rPr>
          <w:rFonts w:ascii="Times" w:hAnsi="Times"/>
          <w:noProof/>
        </w:rPr>
        <w:drawing>
          <wp:anchor distT="0" distB="0" distL="114300" distR="114300" simplePos="0" relativeHeight="251695104" behindDoc="0" locked="0" layoutInCell="1" allowOverlap="1" wp14:anchorId="01E917A7" wp14:editId="7DE1F85D">
            <wp:simplePos x="0" y="0"/>
            <wp:positionH relativeFrom="column">
              <wp:posOffset>0</wp:posOffset>
            </wp:positionH>
            <wp:positionV relativeFrom="paragraph">
              <wp:posOffset>571500</wp:posOffset>
            </wp:positionV>
            <wp:extent cx="6398895" cy="3933825"/>
            <wp:effectExtent l="0" t="0" r="1905" b="3175"/>
            <wp:wrapSquare wrapText="bothSides"/>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8895"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3CF">
        <w:rPr>
          <w:noProof/>
        </w:rPr>
        <mc:AlternateContent>
          <mc:Choice Requires="wps">
            <w:drawing>
              <wp:anchor distT="0" distB="0" distL="114300" distR="114300" simplePos="0" relativeHeight="251685888" behindDoc="0" locked="0" layoutInCell="1" allowOverlap="1" wp14:anchorId="0BA9E943" wp14:editId="7ED44D02">
                <wp:simplePos x="0" y="0"/>
                <wp:positionH relativeFrom="column">
                  <wp:posOffset>0</wp:posOffset>
                </wp:positionH>
                <wp:positionV relativeFrom="paragraph">
                  <wp:posOffset>114300</wp:posOffset>
                </wp:positionV>
                <wp:extent cx="6400800" cy="45720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EC36F" w14:textId="4E586C9F" w:rsidR="00D50343" w:rsidRPr="00520586" w:rsidRDefault="00D50343" w:rsidP="00821776">
                            <w:pPr>
                              <w:jc w:val="center"/>
                              <w:rPr>
                                <w:b/>
                                <w:sz w:val="18"/>
                                <w:szCs w:val="18"/>
                              </w:rPr>
                            </w:pPr>
                            <w:r>
                              <w:rPr>
                                <w:b/>
                                <w:sz w:val="18"/>
                                <w:szCs w:val="18"/>
                              </w:rPr>
                              <w:t>Table 3: Regression models predicting for nine HarvardX 2013-2014 courses the difference in neighborhood income for HarvardX registrants compared to U.S. residents, including variability by age. Coefficients are scaled in thousands of dollars.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0;margin-top:9pt;width:7in;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" filled="f" stroked="f">
                <v:textbox inset=",7.2pt,,7.2pt">
                  <w:txbxContent>
                    <w:p w14:paraId="456EC36F" w14:textId="4E586C9F" w:rsidR="00D50343" w:rsidRPr="00520586" w:rsidRDefault="00D50343" w:rsidP="00821776">
                      <w:pPr>
                        <w:jc w:val="center"/>
                        <w:rPr>
                          <w:b/>
                          <w:sz w:val="18"/>
                          <w:szCs w:val="18"/>
                        </w:rPr>
                      </w:pPr>
                      <w:r>
                        <w:rPr>
                          <w:b/>
                          <w:sz w:val="18"/>
                          <w:szCs w:val="18"/>
                        </w:rPr>
                        <w:t>Table 3: Regression models predicting for nine HarvardX 2013-2014 courses the difference in neighborhood income for HarvardX registrants compared to U.S. residents, including variability by age. Coefficients are scaled in thousands of dollars.</w:t>
                      </w:r>
                    </w:p>
                  </w:txbxContent>
                </v:textbox>
                <w10:wrap type="topAndBottom"/>
              </v:shape>
            </w:pict>
          </mc:Fallback>
        </mc:AlternateContent>
      </w:r>
      <w:r w:rsidR="00F202B9" w:rsidRPr="00DB7EE8">
        <w:rPr>
          <w:rFonts w:ascii="Times" w:hAnsi="Times"/>
        </w:rPr>
        <w:t>The first model estimates the average difference in neighborhood income between a course’s r</w:t>
      </w:r>
      <w:r w:rsidR="00E103B2" w:rsidRPr="00DB7EE8">
        <w:rPr>
          <w:rFonts w:ascii="Times" w:hAnsi="Times"/>
        </w:rPr>
        <w:t>egistrants and the U.S., and t</w:t>
      </w:r>
      <w:r w:rsidR="00F202B9" w:rsidRPr="00DB7EE8">
        <w:rPr>
          <w:rFonts w:ascii="Times" w:hAnsi="Times"/>
        </w:rPr>
        <w:t xml:space="preserve">he second model estimates the difference in the likelihood of course registration attributable </w:t>
      </w:r>
      <w:r w:rsidR="00E103B2" w:rsidRPr="00DB7EE8">
        <w:rPr>
          <w:rFonts w:ascii="Times" w:hAnsi="Times"/>
        </w:rPr>
        <w:t>to neighborhood income</w:t>
      </w:r>
      <w:r w:rsidR="004562BE" w:rsidRPr="00DB7EE8">
        <w:rPr>
          <w:rFonts w:ascii="Times" w:hAnsi="Times"/>
        </w:rPr>
        <w:t xml:space="preserve">. </w:t>
      </w:r>
      <w:r w:rsidR="003048FB" w:rsidRPr="00DB7EE8">
        <w:rPr>
          <w:rFonts w:ascii="Times" w:hAnsi="Times"/>
        </w:rPr>
        <w:t xml:space="preserve">To allow the association between HarvardX registration and neighborhood income to vary across age groups within a course, we include interactions for age categories. </w:t>
      </w:r>
      <w:r w:rsidR="00F71728" w:rsidRPr="00DB7EE8">
        <w:rPr>
          <w:rFonts w:ascii="Times" w:hAnsi="Times"/>
        </w:rPr>
        <w:t xml:space="preserve">We </w:t>
      </w:r>
      <w:r w:rsidR="004562BE" w:rsidRPr="00DB7EE8">
        <w:rPr>
          <w:rFonts w:ascii="Times" w:hAnsi="Times"/>
        </w:rPr>
        <w:t>choose to estimate the first because the coefficients will be es</w:t>
      </w:r>
      <w:r w:rsidR="003048FB">
        <w:rPr>
          <w:rFonts w:ascii="Times" w:hAnsi="Times"/>
        </w:rPr>
        <w:t xml:space="preserve">timated on a dollar scale, which is easier to interpret. </w:t>
      </w:r>
      <w:r w:rsidR="004136D2">
        <w:rPr>
          <w:rFonts w:ascii="Times" w:hAnsi="Times"/>
        </w:rPr>
        <w:t xml:space="preserve">We show the results in Table 3, and all </w:t>
      </w:r>
      <w:r w:rsidR="004A34AB" w:rsidRPr="00DB7EE8">
        <w:rPr>
          <w:rFonts w:ascii="Times" w:hAnsi="Times"/>
        </w:rPr>
        <w:t xml:space="preserve">coefficients are expressed in terms of thousands of dollars. </w:t>
      </w:r>
    </w:p>
    <w:p w14:paraId="2E83C7AA" w14:textId="0EEBE268" w:rsidR="00C90CE4" w:rsidRPr="00612DAF" w:rsidRDefault="00394130" w:rsidP="00C90CE4">
      <w:pPr>
        <w:rPr>
          <w:rFonts w:ascii="Times" w:hAnsi="Times"/>
        </w:rPr>
      </w:pPr>
      <w:r>
        <w:rPr>
          <w:rFonts w:ascii="Times" w:hAnsi="Times"/>
        </w:rPr>
        <w:t>The top row of coefficients</w:t>
      </w:r>
      <w:r w:rsidR="00730C6E">
        <w:rPr>
          <w:rFonts w:ascii="Times" w:hAnsi="Times"/>
        </w:rPr>
        <w:t xml:space="preserve"> in Table 3</w:t>
      </w:r>
      <w:r>
        <w:rPr>
          <w:rFonts w:ascii="Times" w:hAnsi="Times"/>
        </w:rPr>
        <w:t xml:space="preserve"> is each course’s estimated </w:t>
      </w:r>
      <m:oMath>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1</m:t>
            </m:r>
          </m:sub>
        </m:sSub>
      </m:oMath>
      <w:r>
        <w:rPr>
          <w:rFonts w:ascii="Times" w:hAnsi="Times"/>
          <w:sz w:val="18"/>
          <w:szCs w:val="18"/>
        </w:rPr>
        <w:t>,</w:t>
      </w:r>
      <w:r>
        <w:rPr>
          <w:rFonts w:ascii="Times" w:hAnsi="Times"/>
        </w:rPr>
        <w:t xml:space="preserve"> which is</w:t>
      </w:r>
      <w:r w:rsidRPr="00DB7EE8">
        <w:rPr>
          <w:rFonts w:ascii="Times" w:hAnsi="Times"/>
        </w:rPr>
        <w:t xml:space="preserve"> the average difference in neighborhood median income within a course between HarvardX registrants and the U</w:t>
      </w:r>
      <w:r>
        <w:rPr>
          <w:rFonts w:ascii="Times" w:hAnsi="Times"/>
        </w:rPr>
        <w:t>.</w:t>
      </w:r>
      <w:r w:rsidRPr="00DB7EE8">
        <w:rPr>
          <w:rFonts w:ascii="Times" w:hAnsi="Times"/>
        </w:rPr>
        <w:t>S</w:t>
      </w:r>
      <w:r>
        <w:rPr>
          <w:rFonts w:ascii="Times" w:hAnsi="Times"/>
        </w:rPr>
        <w:t>.</w:t>
      </w:r>
      <w:r w:rsidRPr="00DB7EE8">
        <w:rPr>
          <w:rFonts w:ascii="Times" w:hAnsi="Times"/>
        </w:rPr>
        <w:t xml:space="preserve"> for the baseline age group (age 13-17).</w:t>
      </w:r>
      <w:r>
        <w:rPr>
          <w:rFonts w:ascii="Times" w:hAnsi="Times"/>
        </w:rPr>
        <w:t xml:space="preserve"> Each subsequent row contains a course-specific estimate of</w:t>
      </w:r>
      <w:r w:rsidRPr="00DB7EE8">
        <w:rPr>
          <w:rFonts w:ascii="Times" w:hAnsi="Times"/>
        </w:rPr>
        <w:t xml:space="preserve"> </w:t>
      </w:r>
      <m:oMath>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k</m:t>
            </m:r>
          </m:sub>
        </m:sSub>
      </m:oMath>
      <w:r>
        <w:rPr>
          <w:rFonts w:ascii="Times" w:hAnsi="Times"/>
          <w:sz w:val="18"/>
          <w:szCs w:val="18"/>
        </w:rPr>
        <w:t>,</w:t>
      </w:r>
      <w:r w:rsidRPr="00DB7EE8">
        <w:rPr>
          <w:rFonts w:ascii="Times" w:hAnsi="Times"/>
          <w:sz w:val="18"/>
          <w:szCs w:val="18"/>
        </w:rPr>
        <w:t xml:space="preserve"> </w:t>
      </w:r>
      <w:r>
        <w:rPr>
          <w:rFonts w:ascii="Times" w:hAnsi="Times"/>
        </w:rPr>
        <w:t xml:space="preserve">which is </w:t>
      </w:r>
      <w:r w:rsidRPr="00DB7EE8">
        <w:rPr>
          <w:rFonts w:ascii="Times" w:hAnsi="Times"/>
        </w:rPr>
        <w:t xml:space="preserve">the average difference in neighborhood income </w:t>
      </w:r>
      <w:r>
        <w:rPr>
          <w:rFonts w:ascii="Times" w:hAnsi="Times"/>
        </w:rPr>
        <w:t>between a given</w:t>
      </w:r>
      <w:r w:rsidRPr="00DB7EE8">
        <w:rPr>
          <w:rFonts w:ascii="Times" w:hAnsi="Times"/>
        </w:rPr>
        <w:t xml:space="preserve"> age g</w:t>
      </w:r>
      <w:r>
        <w:rPr>
          <w:rFonts w:ascii="Times" w:hAnsi="Times"/>
        </w:rPr>
        <w:t>roup and the baseline age group</w:t>
      </w:r>
      <w:r w:rsidR="00FF7017">
        <w:rPr>
          <w:rFonts w:ascii="Times" w:hAnsi="Times"/>
        </w:rPr>
        <w:t xml:space="preserve"> for HarvardX registrants</w:t>
      </w:r>
      <w:r>
        <w:rPr>
          <w:rFonts w:ascii="Times" w:hAnsi="Times"/>
        </w:rPr>
        <w:t xml:space="preserve">. </w:t>
      </w:r>
      <m:oMath>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j</m:t>
            </m:r>
          </m:sub>
        </m:sSub>
      </m:oMath>
      <w:r w:rsidRPr="00DB7EE8">
        <w:rPr>
          <w:rFonts w:ascii="Times" w:hAnsi="Times"/>
          <w:sz w:val="18"/>
          <w:szCs w:val="18"/>
        </w:rPr>
        <w:t xml:space="preserve"> </w:t>
      </w:r>
      <w:r w:rsidRPr="00DB7EE8">
        <w:rPr>
          <w:rFonts w:ascii="Times" w:hAnsi="Times"/>
        </w:rPr>
        <w:t xml:space="preserve">accounts for differences in a course’s average neighborhood income attributable to the distribution of registrant ages within a course, and </w:t>
      </w:r>
      <m:oMath>
        <m:r>
          <w:rPr>
            <w:rFonts w:ascii="Cambria Math" w:hAnsi="Cambria Math"/>
          </w:rPr>
          <m:t>ϵ</m:t>
        </m:r>
      </m:oMath>
      <w:r w:rsidRPr="00DB7EE8">
        <w:rPr>
          <w:rFonts w:ascii="Times" w:hAnsi="Times"/>
        </w:rPr>
        <w:t xml:space="preserve"> is a random error term assumed to be normally distributed with mean 0. </w:t>
      </w:r>
      <w:r w:rsidR="00612DAF">
        <w:rPr>
          <w:rFonts w:ascii="Times" w:hAnsi="Times"/>
        </w:rPr>
        <w:t>To give an example f</w:t>
      </w:r>
      <w:r w:rsidR="00612DAF" w:rsidRPr="00DB7EE8">
        <w:rPr>
          <w:rFonts w:ascii="Times" w:hAnsi="Times"/>
        </w:rPr>
        <w:t>or the baseline</w:t>
      </w:r>
      <w:r w:rsidR="00612DAF">
        <w:rPr>
          <w:rFonts w:ascii="Times" w:hAnsi="Times"/>
        </w:rPr>
        <w:t xml:space="preserve"> age</w:t>
      </w:r>
      <w:r w:rsidR="00612DAF" w:rsidRPr="00DB7EE8">
        <w:rPr>
          <w:rFonts w:ascii="Times" w:hAnsi="Times"/>
        </w:rPr>
        <w:t xml:space="preserve"> group, we estimate that Early Christianity’s registrants tend to live in neighborhoods where on average the median income is higher by $14,920.</w:t>
      </w:r>
      <w:r w:rsidR="00612DAF">
        <w:rPr>
          <w:rFonts w:ascii="Times" w:hAnsi="Times"/>
        </w:rPr>
        <w:t xml:space="preserve"> </w:t>
      </w:r>
      <w:r w:rsidR="00006A5A">
        <w:rPr>
          <w:rFonts w:ascii="Times" w:hAnsi="Times"/>
        </w:rPr>
        <w:t>While we observe</w:t>
      </w:r>
      <w:r w:rsidR="00C90CE4">
        <w:rPr>
          <w:rFonts w:ascii="Times" w:hAnsi="Times"/>
        </w:rPr>
        <w:t xml:space="preserve"> </w:t>
      </w:r>
      <w:r>
        <w:rPr>
          <w:rFonts w:ascii="Times" w:hAnsi="Times"/>
        </w:rPr>
        <w:t>heterogeneity</w:t>
      </w:r>
      <w:r w:rsidR="00C90CE4">
        <w:rPr>
          <w:rFonts w:ascii="Times" w:hAnsi="Times"/>
        </w:rPr>
        <w:t xml:space="preserve"> across courses</w:t>
      </w:r>
      <w:r w:rsidR="00006A5A">
        <w:rPr>
          <w:rFonts w:ascii="Times" w:hAnsi="Times"/>
        </w:rPr>
        <w:t xml:space="preserve"> and within age groups</w:t>
      </w:r>
      <w:r w:rsidR="00C90CE4">
        <w:rPr>
          <w:rFonts w:ascii="Times" w:hAnsi="Times"/>
        </w:rPr>
        <w:t xml:space="preserve">, nothing from this analysis suggests that our aggregate findings are overly dependent on particular courses. </w:t>
      </w:r>
      <w:r w:rsidR="00612DAF" w:rsidRPr="00DB7EE8">
        <w:rPr>
          <w:rFonts w:ascii="Times" w:hAnsi="Times"/>
        </w:rPr>
        <w:t xml:space="preserve">Though our definition of age groups were not </w:t>
      </w:r>
      <w:r w:rsidR="00612DAF">
        <w:rPr>
          <w:rFonts w:ascii="Times" w:hAnsi="Times"/>
        </w:rPr>
        <w:t xml:space="preserve">entirely </w:t>
      </w:r>
      <w:r w:rsidR="00612DAF" w:rsidRPr="00DB7EE8">
        <w:rPr>
          <w:rFonts w:ascii="Times" w:hAnsi="Times"/>
        </w:rPr>
        <w:t xml:space="preserve">arbitrary, estimates in the table above are primarily illustrative. </w:t>
      </w:r>
      <w:r w:rsidR="00730C6E">
        <w:rPr>
          <w:rFonts w:ascii="Times" w:hAnsi="Times"/>
        </w:rPr>
        <w:t xml:space="preserve">These coefficients </w:t>
      </w:r>
      <w:r w:rsidR="008149ED" w:rsidRPr="00DB7EE8">
        <w:rPr>
          <w:rFonts w:ascii="Times" w:hAnsi="Times"/>
        </w:rPr>
        <w:t xml:space="preserve">may be sensitive to alternative </w:t>
      </w:r>
      <w:r w:rsidR="008149ED">
        <w:rPr>
          <w:rFonts w:ascii="Times" w:hAnsi="Times"/>
        </w:rPr>
        <w:t>age groupings.</w:t>
      </w:r>
    </w:p>
    <w:p w14:paraId="2AE7A5FB" w14:textId="0A597026" w:rsidR="00F71728" w:rsidRDefault="00C90CE4" w:rsidP="004136D2">
      <w:r>
        <w:t>E</w:t>
      </w:r>
      <w:r w:rsidR="00F71728" w:rsidRPr="00DB7EE8">
        <w:t>stimates like these have advantages to descriptive statistics for understandi</w:t>
      </w:r>
      <w:r w:rsidR="00E103B2" w:rsidRPr="00DB7EE8">
        <w:t>ng a course’s demographic with respect to SES</w:t>
      </w:r>
      <w:r w:rsidR="00F71728" w:rsidRPr="00DB7EE8">
        <w:t>. If one’s question is the extent to which a course’s registrants tend to be drawn from more aff</w:t>
      </w:r>
      <w:r w:rsidR="00E103B2" w:rsidRPr="00DB7EE8">
        <w:t xml:space="preserve">luent neighborhoods, the table above </w:t>
      </w:r>
      <w:r w:rsidR="00F71728" w:rsidRPr="00DB7EE8">
        <w:t xml:space="preserve">offers sensible estimates on a scale that lends itself to straightforward cross-course comparisons and the possibility of differential effects by age group. Generalizing about which kinds of courses appeal to which kinds of students is premature given the small </w:t>
      </w:r>
      <w:r w:rsidR="003F7922">
        <w:t>number of courses in this study,</w:t>
      </w:r>
      <w:r w:rsidR="00F71728" w:rsidRPr="00DB7EE8">
        <w:t xml:space="preserve"> but a similar approach applied to a larger set of courses could be instructive.</w:t>
      </w:r>
      <w:r w:rsidR="003F7922">
        <w:t xml:space="preserve"> In this small number, we see no obvious differences between courses in the humanities, sciences or professions in regard to </w:t>
      </w:r>
      <w:r w:rsidR="00406327">
        <w:t xml:space="preserve">neighborhood income and course registration. </w:t>
      </w:r>
    </w:p>
    <w:p w14:paraId="24301668" w14:textId="77777777" w:rsidR="00730C6E" w:rsidRPr="00DB7EE8" w:rsidRDefault="00730C6E" w:rsidP="004136D2"/>
    <w:p w14:paraId="0B03DB74" w14:textId="6EBC72D8" w:rsidR="00442B83" w:rsidRPr="00DB7EE8" w:rsidRDefault="00516F8E" w:rsidP="00365552">
      <w:pPr>
        <w:pStyle w:val="Heading1"/>
      </w:pPr>
      <w:r>
        <w:t xml:space="preserve">7. </w:t>
      </w:r>
      <w:r w:rsidR="00442B83" w:rsidRPr="00DB7EE8">
        <w:t>Discussion</w:t>
      </w:r>
    </w:p>
    <w:p w14:paraId="7E239EC3" w14:textId="77777777" w:rsidR="00730C6E" w:rsidRDefault="00442B83" w:rsidP="00442B83">
      <w:pPr>
        <w:rPr>
          <w:rFonts w:ascii="Times" w:hAnsi="Times"/>
        </w:rPr>
      </w:pPr>
      <w:r w:rsidRPr="00DB7EE8">
        <w:rPr>
          <w:rFonts w:ascii="Times" w:hAnsi="Times"/>
        </w:rPr>
        <w:t>If edX and other MOOC platforms promoted a set of truly class-blind educational opportunities, we might expect at least two things to be true of the registered students. First, we would expect to find that the range of students registered for these courses reflected a wide diversity of peoples. Indeed</w:t>
      </w:r>
      <w:r w:rsidR="00730C6E">
        <w:rPr>
          <w:rFonts w:ascii="Times" w:hAnsi="Times"/>
        </w:rPr>
        <w:t>,</w:t>
      </w:r>
      <w:r w:rsidRPr="00DB7EE8">
        <w:rPr>
          <w:rFonts w:ascii="Times" w:hAnsi="Times"/>
        </w:rPr>
        <w:t xml:space="preserve"> we do find that the 2013-2014 HarvardX courses included American students living in the nation’s poorest neighborhoods as well as students living in the wealthiest neighborhoods, and included students whose parents earned advanced degrees as well as parents with no degree at all. </w:t>
      </w:r>
    </w:p>
    <w:p w14:paraId="2E06A837" w14:textId="58B548A2" w:rsidR="00442B83" w:rsidRPr="00DB7EE8" w:rsidRDefault="00442B83" w:rsidP="00442B83">
      <w:pPr>
        <w:rPr>
          <w:rFonts w:ascii="Times" w:hAnsi="Times"/>
        </w:rPr>
      </w:pPr>
      <w:r w:rsidRPr="00DB7EE8">
        <w:rPr>
          <w:rFonts w:ascii="Times" w:hAnsi="Times"/>
        </w:rPr>
        <w:t xml:space="preserve">We might also expect, however, that in a class-blind set of educational opportunities, the distribution of registrants would reflect the distribution of the larger population, and in this dimension, the population of HarvardX registrants is disappointing. </w:t>
      </w:r>
      <w:r w:rsidR="00730C6E" w:rsidRPr="00DB7EE8">
        <w:rPr>
          <w:rFonts w:ascii="Times" w:hAnsi="Times"/>
        </w:rPr>
        <w:t xml:space="preserve">U.S. HarvardX registrants on average live in neighborhoods with median incomes approximately .45 standard deviations higher than the U.S. population. </w:t>
      </w:r>
      <w:r w:rsidR="00730C6E">
        <w:rPr>
          <w:rFonts w:ascii="Times" w:hAnsi="Times"/>
        </w:rPr>
        <w:t xml:space="preserve">Parental education is also associated with a higher likelihood of MOOC enrollment. For instance, </w:t>
      </w:r>
      <w:r w:rsidR="00730C6E">
        <w:t>a seventeen year-old whose most educated parent has a bachelor's degree is more than five times as likely to register as a seventeen year-old whose most educated parent has a high school diploma. </w:t>
      </w:r>
      <w:r w:rsidRPr="00DB7EE8">
        <w:rPr>
          <w:rFonts w:ascii="Times" w:hAnsi="Times"/>
        </w:rPr>
        <w:t xml:space="preserve">Our findings suggest that the HarvardX courses </w:t>
      </w:r>
      <w:r w:rsidR="00BD2F8A" w:rsidRPr="00DB7EE8">
        <w:rPr>
          <w:rFonts w:ascii="Times" w:hAnsi="Times"/>
        </w:rPr>
        <w:t xml:space="preserve">in our study disproportionately </w:t>
      </w:r>
      <w:r w:rsidRPr="00DB7EE8">
        <w:rPr>
          <w:rFonts w:ascii="Times" w:hAnsi="Times"/>
        </w:rPr>
        <w:t xml:space="preserve">attract individuals already advantaged in terms of access to resources.  </w:t>
      </w:r>
    </w:p>
    <w:p w14:paraId="50700CDD" w14:textId="13957541" w:rsidR="00442B83" w:rsidRPr="00DB7EE8" w:rsidRDefault="00442B83" w:rsidP="00442B83">
      <w:pPr>
        <w:rPr>
          <w:rFonts w:ascii="Times" w:hAnsi="Times"/>
        </w:rPr>
      </w:pPr>
      <w:r w:rsidRPr="00DB7EE8">
        <w:rPr>
          <w:rFonts w:ascii="Times" w:hAnsi="Times"/>
        </w:rPr>
        <w:t xml:space="preserve">This analysis only examines one facet of the complex interplay between MOOCs, SES, and educational inequality. </w:t>
      </w:r>
      <w:r w:rsidR="00E162FA" w:rsidRPr="00DB7EE8">
        <w:rPr>
          <w:rFonts w:ascii="Times" w:hAnsi="Times"/>
        </w:rPr>
        <w:t xml:space="preserve">The digital divide is best understood as two divides, </w:t>
      </w:r>
      <w:r w:rsidRPr="00DB7EE8">
        <w:rPr>
          <w:rFonts w:ascii="Times" w:hAnsi="Times"/>
        </w:rPr>
        <w:t>one of access and one of usage</w:t>
      </w:r>
      <w:r w:rsidR="00AF30E3">
        <w:rPr>
          <w:rFonts w:ascii="Times" w:hAnsi="Times"/>
        </w:rPr>
        <w:t xml:space="preserve"> </w:t>
      </w:r>
      <w:r w:rsidR="00E162FA" w:rsidRPr="00DB7EE8">
        <w:rPr>
          <w:rFonts w:ascii="Times" w:hAnsi="Times"/>
        </w:rPr>
        <w:fldChar w:fldCharType="begin"/>
      </w:r>
      <w:r w:rsidR="00E162FA" w:rsidRPr="00DB7EE8">
        <w:rPr>
          <w:rFonts w:ascii="Times" w:hAnsi="Times"/>
        </w:rPr>
        <w:instrText>ADDIN RW.CITE{{78 Attewell,Paul 2001}}</w:instrText>
      </w:r>
      <w:r w:rsidR="00E162FA" w:rsidRPr="00DB7EE8">
        <w:rPr>
          <w:rFonts w:ascii="Times" w:hAnsi="Times"/>
        </w:rPr>
        <w:fldChar w:fldCharType="separate"/>
      </w:r>
      <w:r w:rsidR="004940BF" w:rsidRPr="004940BF">
        <w:t>[2]</w:t>
      </w:r>
      <w:r w:rsidR="00E162FA" w:rsidRPr="00DB7EE8">
        <w:rPr>
          <w:rFonts w:ascii="Times" w:hAnsi="Times"/>
        </w:rPr>
        <w:fldChar w:fldCharType="end"/>
      </w:r>
      <w:r w:rsidRPr="00DB7EE8">
        <w:rPr>
          <w:rFonts w:ascii="Times" w:hAnsi="Times"/>
        </w:rPr>
        <w:t>. While we show here that students from advantaged backgrounds are more likely to enroll in MOOCs, this analysis does not shed light on whether students from low income neighborhood or</w:t>
      </w:r>
      <w:r w:rsidR="00AF30E3">
        <w:rPr>
          <w:rFonts w:ascii="Times" w:hAnsi="Times"/>
        </w:rPr>
        <w:t xml:space="preserve"> from</w:t>
      </w:r>
      <w:r w:rsidRPr="00DB7EE8">
        <w:rPr>
          <w:rFonts w:ascii="Times" w:hAnsi="Times"/>
        </w:rPr>
        <w:t xml:space="preserve"> families with lower levels of education attainment have lower persistence, participation, or performance within MOOCs. We are currently pursuing these analyses, which are made possible by the more comprehensive demographic portrait available by linking internal MOOC surveys with external sources of data. </w:t>
      </w:r>
    </w:p>
    <w:p w14:paraId="75AA4DAD" w14:textId="3F12BFBC" w:rsidR="00442B83" w:rsidRPr="00DB7EE8" w:rsidRDefault="00442B83" w:rsidP="00442B83">
      <w:pPr>
        <w:rPr>
          <w:rFonts w:ascii="Times" w:hAnsi="Times"/>
        </w:rPr>
      </w:pPr>
      <w:r w:rsidRPr="00DB7EE8">
        <w:rPr>
          <w:rFonts w:ascii="Times" w:hAnsi="Times"/>
        </w:rPr>
        <w:t xml:space="preserve">One of the challenges of conducting studies on how students from different background engage differently with MOOCs is </w:t>
      </w:r>
      <w:r w:rsidR="00AF30E3">
        <w:rPr>
          <w:rFonts w:ascii="Times" w:hAnsi="Times"/>
        </w:rPr>
        <w:t xml:space="preserve">that </w:t>
      </w:r>
      <w:r w:rsidRPr="00DB7EE8">
        <w:rPr>
          <w:rFonts w:ascii="Times" w:hAnsi="Times"/>
        </w:rPr>
        <w:t xml:space="preserve">the desire to keep MOOC easily accessible often precludes asking probing demographic questions as a condition of entry into a course. For the foreseeable future, we expect that conducting rich inquiries about student background characteristics will require drawing on external datasets, both to expand the information that we have about each student and to better understand how MOOC students compare to populations as a whole. An important contribution of this paper is to demonstrate how external datasets can be used to expand demographic pictures of learners, provide a reference point of comparison between MOOC students and larger populations, and to characterize potential sources of response bias when MOOC data are collected from multiple sources. </w:t>
      </w:r>
      <w:r w:rsidR="00AF30E3">
        <w:rPr>
          <w:rFonts w:ascii="Times" w:hAnsi="Times"/>
        </w:rPr>
        <w:t>While we demonstrate this strategies in the U.S. context, we hope that researchers around the world will explore the use of other national census datasets to extend this line of research into other countries.</w:t>
      </w:r>
    </w:p>
    <w:p w14:paraId="4F172FB5" w14:textId="33E59ADC" w:rsidR="000320F8" w:rsidRPr="00006A5A" w:rsidRDefault="00442B83" w:rsidP="00006A5A">
      <w:pPr>
        <w:rPr>
          <w:rFonts w:ascii="Times" w:hAnsi="Times"/>
        </w:rPr>
      </w:pPr>
      <w:r w:rsidRPr="00DB7EE8">
        <w:rPr>
          <w:rFonts w:ascii="Times" w:hAnsi="Times"/>
        </w:rPr>
        <w:t>There are important ethical issues to be considered in pursuing this research. While edX students voluntarily provide their address and other demographic information to us, and while the terms of service and public discourse around MOOCs make it clear that edX data is used for research purposes, this research demonstrates how the merging of multiple datasets makes it possible for researchers to glean deeper insights about an individual than a person might expect for a particular disclosure. When edX registrants share their address with edX, they may or may not understand that providing an address can provide a wealth of additional information about a person and his or her context. Further survey or interview research with MOOC participants might reveal whether MOOC registrants expect their data to be connected with other data sources as is common in a variety of marketing and political settings, or whether they feel that these kinds of research moves are a breach of trust. While we believe that our research strategies are necessary to better address critical questions about how students from different backgrounds engage with MOOCs, we recognize the importance of participating in a public conversation about how researchers use data</w:t>
      </w:r>
      <w:r w:rsidR="007C615A" w:rsidRPr="00DB7EE8">
        <w:rPr>
          <w:rFonts w:ascii="Times" w:hAnsi="Times"/>
        </w:rPr>
        <w:t xml:space="preserve"> from online learner.</w:t>
      </w:r>
    </w:p>
    <w:p w14:paraId="11C5121F" w14:textId="54AA17C4" w:rsidR="00EB4696" w:rsidRPr="00516F8E" w:rsidRDefault="00516F8E" w:rsidP="00516F8E">
      <w:pPr>
        <w:pStyle w:val="Heading1"/>
        <w:rPr>
          <w:szCs w:val="18"/>
        </w:rPr>
      </w:pPr>
      <w:r>
        <w:t xml:space="preserve">8. </w:t>
      </w:r>
      <w:r w:rsidR="006B3F1F" w:rsidRPr="00821776">
        <w:t>REFERENCES</w:t>
      </w:r>
      <w:r w:rsidR="00277365" w:rsidRPr="00516F8E">
        <w:rPr>
          <w:szCs w:val="18"/>
        </w:rPr>
        <w:fldChar w:fldCharType="begin"/>
      </w:r>
      <w:r w:rsidR="00CF033C" w:rsidRPr="00516F8E">
        <w:rPr>
          <w:szCs w:val="18"/>
        </w:rPr>
        <w:instrText>ADDIN RW.BIB</w:instrText>
      </w:r>
      <w:r w:rsidR="00277365" w:rsidRPr="00516F8E">
        <w:rPr>
          <w:szCs w:val="18"/>
        </w:rPr>
        <w:fldChar w:fldCharType="separate"/>
      </w:r>
    </w:p>
    <w:p w14:paraId="5054F4DF" w14:textId="77777777" w:rsidR="00EB4696" w:rsidRPr="00516F8E" w:rsidRDefault="00EB4696" w:rsidP="00EB4696">
      <w:pPr>
        <w:pStyle w:val="NormalWeb"/>
        <w:rPr>
          <w:sz w:val="18"/>
          <w:szCs w:val="18"/>
        </w:rPr>
      </w:pPr>
      <w:r w:rsidRPr="00516F8E">
        <w:rPr>
          <w:sz w:val="18"/>
          <w:szCs w:val="18"/>
        </w:rPr>
        <w:t>[1] Agarwal, A. Online Universities: It’s Time for Teachers to Join the Revolution. The Observer, (June 15 2013).</w:t>
      </w:r>
    </w:p>
    <w:p w14:paraId="6642DF08" w14:textId="77777777" w:rsidR="00EB4696" w:rsidRPr="00516F8E" w:rsidRDefault="00EB4696" w:rsidP="00EB4696">
      <w:pPr>
        <w:pStyle w:val="NormalWeb"/>
        <w:rPr>
          <w:sz w:val="18"/>
          <w:szCs w:val="18"/>
        </w:rPr>
      </w:pPr>
      <w:r w:rsidRPr="00516F8E">
        <w:rPr>
          <w:sz w:val="18"/>
          <w:szCs w:val="18"/>
        </w:rPr>
        <w:t>[2] Attewell, P. Comment: The First and Second Digital Divides. Sociology of Education, 74, 3 (Jul. 2001), 252-259.</w:t>
      </w:r>
    </w:p>
    <w:p w14:paraId="2E7335CF" w14:textId="77777777" w:rsidR="00EB4696" w:rsidRPr="00516F8E" w:rsidRDefault="00EB4696" w:rsidP="00EB4696">
      <w:pPr>
        <w:pStyle w:val="NormalWeb"/>
        <w:rPr>
          <w:sz w:val="18"/>
          <w:szCs w:val="18"/>
        </w:rPr>
      </w:pPr>
      <w:r w:rsidRPr="00516F8E">
        <w:rPr>
          <w:sz w:val="18"/>
          <w:szCs w:val="18"/>
        </w:rPr>
        <w:t xml:space="preserve">[3] Bowen, W. G. and Chingos, M. M. </w:t>
      </w:r>
      <w:r w:rsidRPr="00516F8E">
        <w:rPr>
          <w:i/>
          <w:iCs/>
          <w:sz w:val="18"/>
          <w:szCs w:val="18"/>
        </w:rPr>
        <w:t xml:space="preserve">Crossing the Finish Line: Completing College at America's Public Universities. </w:t>
      </w:r>
      <w:r w:rsidRPr="00516F8E">
        <w:rPr>
          <w:sz w:val="18"/>
          <w:szCs w:val="18"/>
        </w:rPr>
        <w:t>Princeton University Press, Princeton, NJ, 2009.</w:t>
      </w:r>
    </w:p>
    <w:p w14:paraId="14E4225D" w14:textId="7F5EB960" w:rsidR="00EB4696" w:rsidRPr="00516F8E" w:rsidRDefault="00EB4696" w:rsidP="00EB4696">
      <w:pPr>
        <w:pStyle w:val="NormalWeb"/>
        <w:rPr>
          <w:sz w:val="18"/>
          <w:szCs w:val="18"/>
        </w:rPr>
      </w:pPr>
      <w:r w:rsidRPr="00516F8E">
        <w:rPr>
          <w:sz w:val="18"/>
          <w:szCs w:val="18"/>
        </w:rPr>
        <w:t xml:space="preserve">[4] Christensen, G., Steinmetz, A., Alcorn, B., Bennett, A., Woods, D. and Emanuel, E. </w:t>
      </w:r>
      <w:r w:rsidRPr="00516F8E">
        <w:rPr>
          <w:i/>
          <w:iCs/>
          <w:sz w:val="18"/>
          <w:szCs w:val="18"/>
        </w:rPr>
        <w:t xml:space="preserve">The MOOC Phenomenon: Who Takes Massive Open Online Courses and Why? </w:t>
      </w:r>
      <w:r w:rsidRPr="00516F8E">
        <w:rPr>
          <w:sz w:val="18"/>
          <w:szCs w:val="18"/>
        </w:rPr>
        <w:t>, 2013.</w:t>
      </w:r>
      <w:r w:rsidR="00BD7C3B">
        <w:rPr>
          <w:sz w:val="18"/>
          <w:szCs w:val="18"/>
        </w:rPr>
        <w:t xml:space="preserve"> Retrieved October 12, 2014 from SSRN: </w:t>
      </w:r>
      <w:r w:rsidR="00BD7C3B" w:rsidRPr="00BD7C3B">
        <w:rPr>
          <w:sz w:val="18"/>
          <w:szCs w:val="18"/>
        </w:rPr>
        <w:t>http://papers.ssrn.com/sol3/papers.cfm?abstract_id=2350964</w:t>
      </w:r>
    </w:p>
    <w:p w14:paraId="0F070D4D" w14:textId="754CAAFA" w:rsidR="00EB4696" w:rsidRPr="00516F8E" w:rsidRDefault="00EB4696" w:rsidP="00EB4696">
      <w:pPr>
        <w:pStyle w:val="NormalWeb"/>
        <w:rPr>
          <w:sz w:val="18"/>
          <w:szCs w:val="18"/>
        </w:rPr>
      </w:pPr>
      <w:r w:rsidRPr="00516F8E">
        <w:rPr>
          <w:sz w:val="18"/>
          <w:szCs w:val="18"/>
        </w:rPr>
        <w:t>[5] Emanuel, E. J. Online education: MOOCs taken by educate</w:t>
      </w:r>
      <w:r w:rsidR="00F90F8B">
        <w:rPr>
          <w:sz w:val="18"/>
          <w:szCs w:val="18"/>
        </w:rPr>
        <w:t>d few. Nature, 503, 7476 (</w:t>
      </w:r>
      <w:bookmarkStart w:id="0" w:name="_GoBack"/>
      <w:bookmarkEnd w:id="0"/>
      <w:r w:rsidRPr="00516F8E">
        <w:rPr>
          <w:sz w:val="18"/>
          <w:szCs w:val="18"/>
        </w:rPr>
        <w:t>2013), 342-342.</w:t>
      </w:r>
    </w:p>
    <w:p w14:paraId="1C95E957" w14:textId="77777777" w:rsidR="00EB4696" w:rsidRPr="00516F8E" w:rsidRDefault="00EB4696" w:rsidP="00EB4696">
      <w:pPr>
        <w:pStyle w:val="NormalWeb"/>
        <w:rPr>
          <w:sz w:val="18"/>
          <w:szCs w:val="18"/>
        </w:rPr>
      </w:pPr>
      <w:r w:rsidRPr="00516F8E">
        <w:rPr>
          <w:sz w:val="18"/>
          <w:szCs w:val="18"/>
        </w:rPr>
        <w:t xml:space="preserve">[6] Esri. </w:t>
      </w:r>
      <w:r w:rsidRPr="00516F8E">
        <w:rPr>
          <w:i/>
          <w:iCs/>
          <w:sz w:val="18"/>
          <w:szCs w:val="18"/>
        </w:rPr>
        <w:t xml:space="preserve">Esri Updated Demographics. </w:t>
      </w:r>
      <w:r w:rsidRPr="00516F8E">
        <w:rPr>
          <w:sz w:val="18"/>
          <w:szCs w:val="18"/>
        </w:rPr>
        <w:t>Esri, Redlands California, 2014.</w:t>
      </w:r>
    </w:p>
    <w:p w14:paraId="3E256215" w14:textId="77777777" w:rsidR="00EB4696" w:rsidRPr="00516F8E" w:rsidRDefault="00EB4696" w:rsidP="00EB4696">
      <w:pPr>
        <w:pStyle w:val="NormalWeb"/>
        <w:rPr>
          <w:sz w:val="18"/>
          <w:szCs w:val="18"/>
        </w:rPr>
      </w:pPr>
      <w:r w:rsidRPr="00516F8E">
        <w:rPr>
          <w:sz w:val="18"/>
          <w:szCs w:val="18"/>
        </w:rPr>
        <w:t>[7] Friedman, T. L. Come the Revolution. New York Times, (May 15 2012).</w:t>
      </w:r>
    </w:p>
    <w:p w14:paraId="3B30914D" w14:textId="77777777" w:rsidR="00EB4696" w:rsidRPr="00516F8E" w:rsidRDefault="00EB4696" w:rsidP="00EB4696">
      <w:pPr>
        <w:pStyle w:val="NormalWeb"/>
        <w:rPr>
          <w:sz w:val="18"/>
          <w:szCs w:val="18"/>
        </w:rPr>
      </w:pPr>
      <w:r w:rsidRPr="00516F8E">
        <w:rPr>
          <w:sz w:val="18"/>
          <w:szCs w:val="18"/>
        </w:rPr>
        <w:t xml:space="preserve">[8] Goldin, C. D. </w:t>
      </w:r>
      <w:r w:rsidRPr="00516F8E">
        <w:rPr>
          <w:i/>
          <w:iCs/>
          <w:sz w:val="18"/>
          <w:szCs w:val="18"/>
        </w:rPr>
        <w:t xml:space="preserve">The race between education and technology. </w:t>
      </w:r>
      <w:r w:rsidRPr="00516F8E">
        <w:rPr>
          <w:sz w:val="18"/>
          <w:szCs w:val="18"/>
        </w:rPr>
        <w:t>Cambridge, Mass. : Belknap Press of Harvard University Press, 2008, Cambridge, Mass., 2008.</w:t>
      </w:r>
    </w:p>
    <w:p w14:paraId="5143105D" w14:textId="55F04CDC" w:rsidR="00EB4696" w:rsidRPr="00516F8E" w:rsidRDefault="00EB4696" w:rsidP="00EB4696">
      <w:pPr>
        <w:pStyle w:val="NormalWeb"/>
        <w:rPr>
          <w:sz w:val="18"/>
          <w:szCs w:val="18"/>
        </w:rPr>
      </w:pPr>
      <w:r w:rsidRPr="00516F8E">
        <w:rPr>
          <w:sz w:val="18"/>
          <w:szCs w:val="18"/>
        </w:rPr>
        <w:t xml:space="preserve">[9] Ho, A. D., Reich, J., Nesterko, S. O., Seaton, D. T., Mullaney, T., Waldo, J. and Chuang, I. </w:t>
      </w:r>
      <w:r w:rsidRPr="00516F8E">
        <w:rPr>
          <w:i/>
          <w:iCs/>
          <w:sz w:val="18"/>
          <w:szCs w:val="18"/>
        </w:rPr>
        <w:t xml:space="preserve">HarvardX and MITx: The First Year of Open Online Courses, Fall 2012-Summer 2013. </w:t>
      </w:r>
      <w:r w:rsidRPr="00516F8E">
        <w:rPr>
          <w:sz w:val="18"/>
          <w:szCs w:val="18"/>
        </w:rPr>
        <w:t>HarvardX &amp; MITx Working Paper No. 1. , 2014.</w:t>
      </w:r>
      <w:r w:rsidR="00BD7C3B">
        <w:rPr>
          <w:sz w:val="18"/>
          <w:szCs w:val="18"/>
        </w:rPr>
        <w:t xml:space="preserve"> Retrieved August 12, 2014 from SSRN: </w:t>
      </w:r>
      <w:r w:rsidR="00BD7C3B" w:rsidRPr="00BD7C3B">
        <w:rPr>
          <w:sz w:val="18"/>
          <w:szCs w:val="18"/>
        </w:rPr>
        <w:t>http://papers.ssrn.com/sol3/papers.cfm?abstract_id=2381263</w:t>
      </w:r>
    </w:p>
    <w:p w14:paraId="14D78E03" w14:textId="77777777" w:rsidR="00EB4696" w:rsidRPr="00516F8E" w:rsidRDefault="00EB4696" w:rsidP="00EB4696">
      <w:pPr>
        <w:pStyle w:val="NormalWeb"/>
        <w:rPr>
          <w:sz w:val="18"/>
          <w:szCs w:val="18"/>
        </w:rPr>
      </w:pPr>
      <w:r w:rsidRPr="00516F8E">
        <w:rPr>
          <w:sz w:val="18"/>
          <w:szCs w:val="18"/>
        </w:rPr>
        <w:t>[10] Kling, J. R., Liebman, J. B. and Katz, L. F. Experimental analysis of neighborhood effects. Econometrica, 75, 1 ( 2007), 83-119.</w:t>
      </w:r>
    </w:p>
    <w:p w14:paraId="2C6FD4D8" w14:textId="7EA2B2D4" w:rsidR="00EB4696" w:rsidRPr="00516F8E" w:rsidRDefault="00EB4696" w:rsidP="00EB4696">
      <w:pPr>
        <w:pStyle w:val="NormalWeb"/>
        <w:rPr>
          <w:sz w:val="18"/>
          <w:szCs w:val="18"/>
        </w:rPr>
      </w:pPr>
      <w:r w:rsidRPr="00516F8E">
        <w:rPr>
          <w:sz w:val="18"/>
          <w:szCs w:val="18"/>
        </w:rPr>
        <w:t xml:space="preserve">[11] National Center for Education Statistics. </w:t>
      </w:r>
      <w:r w:rsidRPr="00516F8E">
        <w:rPr>
          <w:i/>
          <w:iCs/>
          <w:sz w:val="18"/>
          <w:szCs w:val="18"/>
        </w:rPr>
        <w:t xml:space="preserve">Improving the Measurement of Socioeconomic Status for the National Assessment of Educational Progress: A Theoretical Foundation. </w:t>
      </w:r>
      <w:r w:rsidRPr="00516F8E">
        <w:rPr>
          <w:sz w:val="18"/>
          <w:szCs w:val="18"/>
        </w:rPr>
        <w:t>National Center for Education Statistics, Washington, D.C., 2012.</w:t>
      </w:r>
      <w:r w:rsidR="00C05D17">
        <w:rPr>
          <w:sz w:val="18"/>
          <w:szCs w:val="18"/>
        </w:rPr>
        <w:t xml:space="preserve"> Retrieved October 15, 2014 from NCES: </w:t>
      </w:r>
      <w:r w:rsidR="00C05D17" w:rsidRPr="00C05D17">
        <w:rPr>
          <w:sz w:val="18"/>
          <w:szCs w:val="18"/>
        </w:rPr>
        <w:t>http://nces.ed.gov/nationsreportcard/pdf/researchcenter/socioeconomic_factors.pdf</w:t>
      </w:r>
    </w:p>
    <w:p w14:paraId="59452E72" w14:textId="77777777" w:rsidR="00EB4696" w:rsidRPr="00516F8E" w:rsidRDefault="00EB4696" w:rsidP="00EB4696">
      <w:pPr>
        <w:pStyle w:val="NormalWeb"/>
        <w:rPr>
          <w:sz w:val="18"/>
          <w:szCs w:val="18"/>
        </w:rPr>
      </w:pPr>
      <w:r w:rsidRPr="00516F8E">
        <w:rPr>
          <w:sz w:val="18"/>
          <w:szCs w:val="18"/>
        </w:rPr>
        <w:t>[12] Ruggles, S., Alexander, J. T., Genadek, K., Schroeder, M. B. and Sobek, M. Integrated Public Use Microdata Series: Version 5.0. ( 2010).</w:t>
      </w:r>
    </w:p>
    <w:p w14:paraId="4E13AC4C" w14:textId="44A0EF3A" w:rsidR="00EB4696" w:rsidRPr="00516F8E" w:rsidRDefault="00EB4696" w:rsidP="00EB4696">
      <w:pPr>
        <w:pStyle w:val="NormalWeb"/>
        <w:rPr>
          <w:sz w:val="18"/>
          <w:szCs w:val="18"/>
        </w:rPr>
      </w:pPr>
      <w:r w:rsidRPr="00516F8E">
        <w:rPr>
          <w:sz w:val="18"/>
          <w:szCs w:val="18"/>
        </w:rPr>
        <w:t>[13] U.S. Census Bureau. American Community Survey, 2012. ( 2013).</w:t>
      </w:r>
      <w:r w:rsidR="007839F3">
        <w:rPr>
          <w:sz w:val="18"/>
          <w:szCs w:val="18"/>
        </w:rPr>
        <w:t xml:space="preserve"> </w:t>
      </w:r>
      <w:r w:rsidR="007839F3" w:rsidRPr="007839F3">
        <w:rPr>
          <w:sz w:val="18"/>
          <w:szCs w:val="18"/>
        </w:rPr>
        <w:t xml:space="preserve">Retrieved October 12, 2014, from </w:t>
      </w:r>
      <w:hyperlink r:id="rId19" w:history="1">
        <w:r w:rsidR="007839F3" w:rsidRPr="007839F3">
          <w:rPr>
            <w:rStyle w:val="Hyperlink"/>
            <w:sz w:val="18"/>
            <w:szCs w:val="18"/>
          </w:rPr>
          <w:t>http://www.census.gov/acs/www/Downloads/questionnaires/2012/Quest12.pdf</w:t>
        </w:r>
      </w:hyperlink>
    </w:p>
    <w:p w14:paraId="63C5B420" w14:textId="4CFB5439" w:rsidR="00EB4696" w:rsidRPr="00516F8E" w:rsidRDefault="00EB4696" w:rsidP="00EB4696">
      <w:pPr>
        <w:pStyle w:val="NormalWeb"/>
        <w:rPr>
          <w:sz w:val="18"/>
          <w:szCs w:val="18"/>
        </w:rPr>
      </w:pPr>
      <w:r w:rsidRPr="00516F8E">
        <w:rPr>
          <w:sz w:val="18"/>
          <w:szCs w:val="18"/>
        </w:rPr>
        <w:t>[14] U.S. Census Bureau. American FactFinder: 2008-2012 American Community Survey Five-Year Estimates, Selected Economic Characteristics. . ( 2013).</w:t>
      </w:r>
      <w:r w:rsidR="00D50343">
        <w:rPr>
          <w:sz w:val="18"/>
          <w:szCs w:val="18"/>
        </w:rPr>
        <w:t xml:space="preserve"> </w:t>
      </w:r>
      <w:r w:rsidR="00D50343" w:rsidRPr="00D50343">
        <w:rPr>
          <w:sz w:val="18"/>
          <w:szCs w:val="18"/>
        </w:rPr>
        <w:t xml:space="preserve">Retrieved August 18, 2014, from </w:t>
      </w:r>
      <w:r w:rsidR="007839F3">
        <w:rPr>
          <w:sz w:val="18"/>
          <w:szCs w:val="18"/>
        </w:rPr>
        <w:t xml:space="preserve">the US Census Bureau: </w:t>
      </w:r>
      <w:hyperlink r:id="rId20" w:history="1">
        <w:r w:rsidR="00D50343" w:rsidRPr="00D50343">
          <w:rPr>
            <w:rStyle w:val="Hyperlink"/>
            <w:sz w:val="18"/>
            <w:szCs w:val="18"/>
          </w:rPr>
          <w:t>factfinder2.census.gov/faces/tableservices/jsf/pages/productview.xhtml?pid=ACS_12_5YR_DP03&amp;prodType=table</w:t>
        </w:r>
      </w:hyperlink>
    </w:p>
    <w:p w14:paraId="329C2BA2" w14:textId="674700CF" w:rsidR="00EB4696" w:rsidRPr="00516F8E" w:rsidRDefault="00EB4696" w:rsidP="00EB4696">
      <w:pPr>
        <w:pStyle w:val="NormalWeb"/>
        <w:rPr>
          <w:sz w:val="18"/>
          <w:szCs w:val="18"/>
        </w:rPr>
      </w:pPr>
      <w:r w:rsidRPr="00516F8E">
        <w:rPr>
          <w:sz w:val="18"/>
          <w:szCs w:val="18"/>
        </w:rPr>
        <w:t>[15] U.S. Census Bureau. Geographic Terms and Concepts - ZIP Code Tabulation Areas. 2014, October 10 ( 2010).</w:t>
      </w:r>
      <w:r w:rsidR="007839F3">
        <w:rPr>
          <w:sz w:val="18"/>
          <w:szCs w:val="18"/>
        </w:rPr>
        <w:t xml:space="preserve"> Retrieved October 12 from U.S. Census Bureau: </w:t>
      </w:r>
      <w:r w:rsidR="007839F3" w:rsidRPr="007839F3">
        <w:rPr>
          <w:sz w:val="18"/>
          <w:szCs w:val="18"/>
        </w:rPr>
        <w:t>https://www.census.gov/geo/reference/zctas.html</w:t>
      </w:r>
      <w:r w:rsidR="007839F3">
        <w:rPr>
          <w:sz w:val="18"/>
          <w:szCs w:val="18"/>
        </w:rPr>
        <w:t xml:space="preserve"> </w:t>
      </w:r>
    </w:p>
    <w:p w14:paraId="2C42B0EE" w14:textId="55049868" w:rsidR="00EB4696" w:rsidRPr="00516F8E" w:rsidRDefault="00EB4696" w:rsidP="00EB4696">
      <w:pPr>
        <w:pStyle w:val="NormalWeb"/>
        <w:rPr>
          <w:sz w:val="18"/>
          <w:szCs w:val="18"/>
        </w:rPr>
      </w:pPr>
      <w:r w:rsidRPr="00516F8E">
        <w:rPr>
          <w:sz w:val="18"/>
          <w:szCs w:val="18"/>
        </w:rPr>
        <w:t xml:space="preserve">[16] U.S. Census Bureau. </w:t>
      </w:r>
      <w:r w:rsidRPr="00516F8E">
        <w:rPr>
          <w:i/>
          <w:iCs/>
          <w:sz w:val="18"/>
          <w:szCs w:val="18"/>
        </w:rPr>
        <w:t xml:space="preserve">Design and Methodology: American Community Survey. </w:t>
      </w:r>
      <w:r w:rsidRPr="00516F8E">
        <w:rPr>
          <w:sz w:val="18"/>
          <w:szCs w:val="18"/>
        </w:rPr>
        <w:t>U.S. Government Printin</w:t>
      </w:r>
      <w:r w:rsidR="007839F3">
        <w:rPr>
          <w:sz w:val="18"/>
          <w:szCs w:val="18"/>
        </w:rPr>
        <w:t>g Office, Washington, D.C., 2009</w:t>
      </w:r>
      <w:r w:rsidRPr="00516F8E">
        <w:rPr>
          <w:sz w:val="18"/>
          <w:szCs w:val="18"/>
        </w:rPr>
        <w:t>.</w:t>
      </w:r>
      <w:r w:rsidR="007839F3">
        <w:rPr>
          <w:sz w:val="18"/>
          <w:szCs w:val="18"/>
        </w:rPr>
        <w:t xml:space="preserve"> Retrieved August 14, 2014 from U.S. Census Bureau: </w:t>
      </w:r>
      <w:r w:rsidR="007839F3" w:rsidRPr="007839F3">
        <w:rPr>
          <w:sz w:val="18"/>
          <w:szCs w:val="18"/>
        </w:rPr>
        <w:t>http://www.census.gov/acs/www/Downloads/survey_methodology/acs_design_methodology.pdf</w:t>
      </w:r>
      <w:r w:rsidR="007839F3">
        <w:rPr>
          <w:sz w:val="18"/>
          <w:szCs w:val="18"/>
        </w:rPr>
        <w:t xml:space="preserve"> </w:t>
      </w:r>
    </w:p>
    <w:p w14:paraId="158A7474" w14:textId="77777777" w:rsidR="00EB4696" w:rsidRPr="00516F8E" w:rsidRDefault="00EB4696" w:rsidP="00EB4696">
      <w:pPr>
        <w:pStyle w:val="NormalWeb"/>
        <w:rPr>
          <w:sz w:val="18"/>
          <w:szCs w:val="18"/>
        </w:rPr>
      </w:pPr>
      <w:r w:rsidRPr="00516F8E">
        <w:rPr>
          <w:sz w:val="18"/>
          <w:szCs w:val="18"/>
        </w:rPr>
        <w:t>[17] Watson, T. Inequality and the measurement of residential segregation by income in American neighborhoods. Rev. Income Wealth, 55, 3 ( 2009), 820-844.</w:t>
      </w:r>
    </w:p>
    <w:p w14:paraId="496D438B" w14:textId="3D36F5E4" w:rsidR="00D16D68" w:rsidRPr="00DB7EE8" w:rsidRDefault="00277365" w:rsidP="00EB4696">
      <w:pPr>
        <w:pStyle w:val="NormalWeb"/>
        <w:jc w:val="center"/>
        <w:rPr>
          <w:rFonts w:ascii="Times" w:hAnsi="Times"/>
        </w:rPr>
        <w:sectPr w:rsidR="00D16D68" w:rsidRPr="00DB7EE8" w:rsidSect="00DE1746">
          <w:headerReference w:type="even" r:id="rId21"/>
          <w:type w:val="continuous"/>
          <w:pgSz w:w="12240" w:h="15840" w:code="1"/>
          <w:pgMar w:top="1224" w:right="1080" w:bottom="1440" w:left="1080" w:header="720" w:footer="720" w:gutter="0"/>
          <w:cols w:num="2" w:space="432"/>
        </w:sectPr>
      </w:pPr>
      <w:r w:rsidRPr="00516F8E">
        <w:rPr>
          <w:rFonts w:ascii="Times" w:hAnsi="Times"/>
          <w:sz w:val="18"/>
          <w:szCs w:val="18"/>
        </w:rPr>
        <w:fldChar w:fldCharType="end"/>
      </w:r>
    </w:p>
    <w:p w14:paraId="45C7ED57" w14:textId="77777777" w:rsidR="00127191" w:rsidRPr="00DB7EE8" w:rsidRDefault="00127191" w:rsidP="00760265">
      <w:pPr>
        <w:rPr>
          <w:rFonts w:ascii="Times" w:hAnsi="Times"/>
          <w:b/>
          <w:sz w:val="24"/>
        </w:rPr>
      </w:pPr>
    </w:p>
    <w:sectPr w:rsidR="00127191" w:rsidRPr="00DB7EE8" w:rsidSect="00DE1746">
      <w:type w:val="continuous"/>
      <w:pgSz w:w="12240" w:h="15840" w:code="1"/>
      <w:pgMar w:top="1224" w:right="1080" w:bottom="1440"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2D8EE" w14:textId="77777777" w:rsidR="00D50343" w:rsidRDefault="00D50343">
      <w:r>
        <w:separator/>
      </w:r>
    </w:p>
  </w:endnote>
  <w:endnote w:type="continuationSeparator" w:id="0">
    <w:p w14:paraId="456AC581" w14:textId="77777777" w:rsidR="00D50343" w:rsidRDefault="00D5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885AD" w14:textId="77777777" w:rsidR="00D50343" w:rsidRDefault="00D50343">
      <w:r>
        <w:separator/>
      </w:r>
    </w:p>
  </w:footnote>
  <w:footnote w:type="continuationSeparator" w:id="0">
    <w:p w14:paraId="18044837" w14:textId="77777777" w:rsidR="00D50343" w:rsidRDefault="00D503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006A3" w14:textId="77777777" w:rsidR="00D50343" w:rsidRDefault="00D50343" w:rsidP="006B3F1F">
    <w:pPr>
      <w:pStyle w:val="Header"/>
      <w:tabs>
        <w:tab w:val="clear" w:pos="4320"/>
        <w:tab w:val="clear" w:pos="8640"/>
        <w:tab w:val="left" w:pos="2660"/>
      </w:tabs>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967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8D75AF"/>
    <w:multiLevelType w:val="singleLevel"/>
    <w:tmpl w:val="DDEE8D5E"/>
    <w:lvl w:ilvl="0">
      <w:start w:val="1"/>
      <w:numFmt w:val="decimal"/>
      <w:lvlText w:val="%1."/>
      <w:legacy w:legacy="1" w:legacySpace="0" w:legacyIndent="144"/>
      <w:lvlJc w:val="left"/>
      <w:pPr>
        <w:ind w:left="144" w:hanging="144"/>
      </w:pPr>
    </w:lvl>
  </w:abstractNum>
  <w:abstractNum w:abstractNumId="15">
    <w:nsid w:val="2A511C4F"/>
    <w:multiLevelType w:val="hybridMultilevel"/>
    <w:tmpl w:val="9786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229611F"/>
    <w:multiLevelType w:val="singleLevel"/>
    <w:tmpl w:val="DDEE8D5E"/>
    <w:lvl w:ilvl="0">
      <w:start w:val="1"/>
      <w:numFmt w:val="decimal"/>
      <w:lvlText w:val="%1."/>
      <w:legacy w:legacy="1" w:legacySpace="0" w:legacyIndent="144"/>
      <w:lvlJc w:val="left"/>
      <w:pPr>
        <w:ind w:left="144" w:hanging="144"/>
      </w:pPr>
    </w:lvl>
  </w:abstractNum>
  <w:abstractNum w:abstractNumId="19">
    <w:nsid w:val="4AAC6963"/>
    <w:multiLevelType w:val="singleLevel"/>
    <w:tmpl w:val="DDEE8D5E"/>
    <w:lvl w:ilvl="0">
      <w:start w:val="1"/>
      <w:numFmt w:val="decimal"/>
      <w:lvlText w:val="%1."/>
      <w:legacy w:legacy="1" w:legacySpace="0" w:legacyIndent="144"/>
      <w:lvlJc w:val="left"/>
      <w:pPr>
        <w:ind w:left="144" w:hanging="144"/>
      </w:pPr>
    </w:lvl>
  </w:abstractNum>
  <w:abstractNum w:abstractNumId="20">
    <w:nsid w:val="5289287D"/>
    <w:multiLevelType w:val="singleLevel"/>
    <w:tmpl w:val="DDEE8D5E"/>
    <w:lvl w:ilvl="0">
      <w:start w:val="1"/>
      <w:numFmt w:val="decimal"/>
      <w:lvlText w:val="%1."/>
      <w:legacy w:legacy="1" w:legacySpace="0" w:legacyIndent="144"/>
      <w:lvlJc w:val="left"/>
      <w:pPr>
        <w:ind w:left="144" w:hanging="144"/>
      </w:pPr>
    </w:lvl>
  </w:abstractNum>
  <w:abstractNum w:abstractNumId="21">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D51CC0"/>
    <w:multiLevelType w:val="singleLevel"/>
    <w:tmpl w:val="DDEE8D5E"/>
    <w:lvl w:ilvl="0">
      <w:start w:val="1"/>
      <w:numFmt w:val="decimal"/>
      <w:lvlText w:val="%1."/>
      <w:legacy w:legacy="1" w:legacySpace="0" w:legacyIndent="144"/>
      <w:lvlJc w:val="left"/>
      <w:pPr>
        <w:ind w:left="144" w:hanging="144"/>
      </w:pPr>
    </w:lvl>
  </w:abstractNum>
  <w:abstractNum w:abstractNumId="23">
    <w:nsid w:val="5A0A036E"/>
    <w:multiLevelType w:val="singleLevel"/>
    <w:tmpl w:val="61E616DA"/>
    <w:lvl w:ilvl="0">
      <w:start w:val="1"/>
      <w:numFmt w:val="decimal"/>
      <w:lvlText w:val="%1."/>
      <w:legacy w:legacy="1" w:legacySpace="0" w:legacyIndent="144"/>
      <w:lvlJc w:val="left"/>
      <w:pPr>
        <w:ind w:left="144" w:hanging="144"/>
      </w:pPr>
    </w:lvl>
  </w:abstractNum>
  <w:abstractNum w:abstractNumId="24">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3"/>
  </w:num>
  <w:num w:numId="23">
    <w:abstractNumId w:val="17"/>
  </w:num>
  <w:num w:numId="24">
    <w:abstractNumId w:val="11"/>
  </w:num>
  <w:num w:numId="25">
    <w:abstractNumId w:val="18"/>
  </w:num>
  <w:num w:numId="26">
    <w:abstractNumId w:val="16"/>
  </w:num>
  <w:num w:numId="27">
    <w:abstractNumId w:val="19"/>
  </w:num>
  <w:num w:numId="28">
    <w:abstractNumId w:val="20"/>
  </w:num>
  <w:num w:numId="29">
    <w:abstractNumId w:val="14"/>
  </w:num>
  <w:num w:numId="30">
    <w:abstractNumId w:val="22"/>
  </w:num>
  <w:num w:numId="31">
    <w:abstractNumId w:val="13"/>
  </w:num>
  <w:num w:numId="32">
    <w:abstractNumId w:val="24"/>
  </w:num>
  <w:num w:numId="33">
    <w:abstractNumId w:val="0"/>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4F7602"/>
    <w:rsid w:val="00002939"/>
    <w:rsid w:val="00003E57"/>
    <w:rsid w:val="00006A5A"/>
    <w:rsid w:val="00015868"/>
    <w:rsid w:val="000158D8"/>
    <w:rsid w:val="00016118"/>
    <w:rsid w:val="0001659E"/>
    <w:rsid w:val="00016748"/>
    <w:rsid w:val="000168AE"/>
    <w:rsid w:val="00031150"/>
    <w:rsid w:val="000320F8"/>
    <w:rsid w:val="00032B12"/>
    <w:rsid w:val="000333DE"/>
    <w:rsid w:val="0003390D"/>
    <w:rsid w:val="0003450C"/>
    <w:rsid w:val="000442E4"/>
    <w:rsid w:val="000460AE"/>
    <w:rsid w:val="00046AB3"/>
    <w:rsid w:val="000515EF"/>
    <w:rsid w:val="00054941"/>
    <w:rsid w:val="00055598"/>
    <w:rsid w:val="00055BF5"/>
    <w:rsid w:val="00057A10"/>
    <w:rsid w:val="000614E0"/>
    <w:rsid w:val="000657B2"/>
    <w:rsid w:val="0006765D"/>
    <w:rsid w:val="000728F3"/>
    <w:rsid w:val="00072B3A"/>
    <w:rsid w:val="00085516"/>
    <w:rsid w:val="0008647F"/>
    <w:rsid w:val="00092DB0"/>
    <w:rsid w:val="000A3852"/>
    <w:rsid w:val="000A472B"/>
    <w:rsid w:val="000B19DC"/>
    <w:rsid w:val="000B3329"/>
    <w:rsid w:val="000B4D32"/>
    <w:rsid w:val="000B6A11"/>
    <w:rsid w:val="000B72DA"/>
    <w:rsid w:val="000C15BF"/>
    <w:rsid w:val="000C339F"/>
    <w:rsid w:val="000C4B7E"/>
    <w:rsid w:val="000C6387"/>
    <w:rsid w:val="000C6D5A"/>
    <w:rsid w:val="000D22FC"/>
    <w:rsid w:val="000D27DB"/>
    <w:rsid w:val="000E35E5"/>
    <w:rsid w:val="000E4445"/>
    <w:rsid w:val="000E5328"/>
    <w:rsid w:val="000E7CCC"/>
    <w:rsid w:val="000F17A8"/>
    <w:rsid w:val="000F3841"/>
    <w:rsid w:val="000F47A8"/>
    <w:rsid w:val="001014F5"/>
    <w:rsid w:val="0010210D"/>
    <w:rsid w:val="00103B0D"/>
    <w:rsid w:val="001044C3"/>
    <w:rsid w:val="00106620"/>
    <w:rsid w:val="00107308"/>
    <w:rsid w:val="001105CA"/>
    <w:rsid w:val="00113C5B"/>
    <w:rsid w:val="001153BE"/>
    <w:rsid w:val="00116DD3"/>
    <w:rsid w:val="001206AF"/>
    <w:rsid w:val="0012151A"/>
    <w:rsid w:val="00123CFD"/>
    <w:rsid w:val="00126958"/>
    <w:rsid w:val="00127191"/>
    <w:rsid w:val="00131907"/>
    <w:rsid w:val="00132891"/>
    <w:rsid w:val="001354CF"/>
    <w:rsid w:val="00137145"/>
    <w:rsid w:val="0014297F"/>
    <w:rsid w:val="001465AB"/>
    <w:rsid w:val="00151FAA"/>
    <w:rsid w:val="0015205F"/>
    <w:rsid w:val="0015292D"/>
    <w:rsid w:val="001529B8"/>
    <w:rsid w:val="001536DB"/>
    <w:rsid w:val="001607A5"/>
    <w:rsid w:val="00161911"/>
    <w:rsid w:val="00162BBD"/>
    <w:rsid w:val="00167B1C"/>
    <w:rsid w:val="00170995"/>
    <w:rsid w:val="00170CEF"/>
    <w:rsid w:val="00171122"/>
    <w:rsid w:val="001762A4"/>
    <w:rsid w:val="001777D2"/>
    <w:rsid w:val="00183696"/>
    <w:rsid w:val="00183911"/>
    <w:rsid w:val="00187751"/>
    <w:rsid w:val="00187E90"/>
    <w:rsid w:val="001927B9"/>
    <w:rsid w:val="00192B4F"/>
    <w:rsid w:val="001953C0"/>
    <w:rsid w:val="00195C3A"/>
    <w:rsid w:val="00196A1D"/>
    <w:rsid w:val="00197B90"/>
    <w:rsid w:val="001A0884"/>
    <w:rsid w:val="001A669F"/>
    <w:rsid w:val="001B1E1E"/>
    <w:rsid w:val="001B39BC"/>
    <w:rsid w:val="001B71BE"/>
    <w:rsid w:val="001C2A81"/>
    <w:rsid w:val="001C6E7F"/>
    <w:rsid w:val="001D29E1"/>
    <w:rsid w:val="001D2FC3"/>
    <w:rsid w:val="001D387F"/>
    <w:rsid w:val="001E4287"/>
    <w:rsid w:val="001E748F"/>
    <w:rsid w:val="001F062E"/>
    <w:rsid w:val="001F40BF"/>
    <w:rsid w:val="001F484D"/>
    <w:rsid w:val="001F4FE4"/>
    <w:rsid w:val="001F5FC2"/>
    <w:rsid w:val="001F73C3"/>
    <w:rsid w:val="001F766E"/>
    <w:rsid w:val="0020192F"/>
    <w:rsid w:val="002022E9"/>
    <w:rsid w:val="00202F17"/>
    <w:rsid w:val="0020352B"/>
    <w:rsid w:val="00203DBE"/>
    <w:rsid w:val="0020733A"/>
    <w:rsid w:val="00210191"/>
    <w:rsid w:val="00211172"/>
    <w:rsid w:val="00212115"/>
    <w:rsid w:val="00220DE2"/>
    <w:rsid w:val="0022310F"/>
    <w:rsid w:val="002249F6"/>
    <w:rsid w:val="00226BD1"/>
    <w:rsid w:val="00227741"/>
    <w:rsid w:val="00234445"/>
    <w:rsid w:val="0023556C"/>
    <w:rsid w:val="0023702C"/>
    <w:rsid w:val="00240CF2"/>
    <w:rsid w:val="0024113A"/>
    <w:rsid w:val="00241DCE"/>
    <w:rsid w:val="002430EB"/>
    <w:rsid w:val="00244070"/>
    <w:rsid w:val="002448EB"/>
    <w:rsid w:val="00250326"/>
    <w:rsid w:val="00250FC9"/>
    <w:rsid w:val="00251EA8"/>
    <w:rsid w:val="00253E97"/>
    <w:rsid w:val="002552D0"/>
    <w:rsid w:val="002562A2"/>
    <w:rsid w:val="0025707B"/>
    <w:rsid w:val="00257C17"/>
    <w:rsid w:val="00257EE5"/>
    <w:rsid w:val="00266C72"/>
    <w:rsid w:val="002673A7"/>
    <w:rsid w:val="00267B76"/>
    <w:rsid w:val="00270FB1"/>
    <w:rsid w:val="00272B47"/>
    <w:rsid w:val="00274032"/>
    <w:rsid w:val="00274201"/>
    <w:rsid w:val="0027516F"/>
    <w:rsid w:val="0027530A"/>
    <w:rsid w:val="00275F68"/>
    <w:rsid w:val="00277221"/>
    <w:rsid w:val="00277365"/>
    <w:rsid w:val="002818BB"/>
    <w:rsid w:val="00281D82"/>
    <w:rsid w:val="002847AA"/>
    <w:rsid w:val="002862A4"/>
    <w:rsid w:val="00286778"/>
    <w:rsid w:val="00287016"/>
    <w:rsid w:val="0028798F"/>
    <w:rsid w:val="00292323"/>
    <w:rsid w:val="002932A0"/>
    <w:rsid w:val="00294961"/>
    <w:rsid w:val="00296564"/>
    <w:rsid w:val="0029689C"/>
    <w:rsid w:val="00297767"/>
    <w:rsid w:val="002A1B84"/>
    <w:rsid w:val="002A2EF7"/>
    <w:rsid w:val="002A6DDB"/>
    <w:rsid w:val="002A7058"/>
    <w:rsid w:val="002B0C51"/>
    <w:rsid w:val="002B24C0"/>
    <w:rsid w:val="002B365D"/>
    <w:rsid w:val="002B3D28"/>
    <w:rsid w:val="002B3F73"/>
    <w:rsid w:val="002B76F5"/>
    <w:rsid w:val="002C17FC"/>
    <w:rsid w:val="002C40F6"/>
    <w:rsid w:val="002D7D7B"/>
    <w:rsid w:val="002E1928"/>
    <w:rsid w:val="002E30CC"/>
    <w:rsid w:val="002E3F90"/>
    <w:rsid w:val="002E446D"/>
    <w:rsid w:val="002E55F5"/>
    <w:rsid w:val="002E6067"/>
    <w:rsid w:val="002E6997"/>
    <w:rsid w:val="002F3437"/>
    <w:rsid w:val="002F61EC"/>
    <w:rsid w:val="002F66B6"/>
    <w:rsid w:val="003032A8"/>
    <w:rsid w:val="003048FB"/>
    <w:rsid w:val="00305E46"/>
    <w:rsid w:val="00306BA2"/>
    <w:rsid w:val="00310376"/>
    <w:rsid w:val="00310DBF"/>
    <w:rsid w:val="00311723"/>
    <w:rsid w:val="00311941"/>
    <w:rsid w:val="003146DC"/>
    <w:rsid w:val="00315292"/>
    <w:rsid w:val="003167E6"/>
    <w:rsid w:val="003250A7"/>
    <w:rsid w:val="003268CB"/>
    <w:rsid w:val="003303D6"/>
    <w:rsid w:val="003306FF"/>
    <w:rsid w:val="00331AFF"/>
    <w:rsid w:val="0033350A"/>
    <w:rsid w:val="003347DE"/>
    <w:rsid w:val="00336F85"/>
    <w:rsid w:val="00337407"/>
    <w:rsid w:val="00340493"/>
    <w:rsid w:val="0034059B"/>
    <w:rsid w:val="00341666"/>
    <w:rsid w:val="003450DD"/>
    <w:rsid w:val="003500C6"/>
    <w:rsid w:val="003519E9"/>
    <w:rsid w:val="0035350D"/>
    <w:rsid w:val="00354AC8"/>
    <w:rsid w:val="00355923"/>
    <w:rsid w:val="00355F11"/>
    <w:rsid w:val="00365552"/>
    <w:rsid w:val="00366279"/>
    <w:rsid w:val="00371054"/>
    <w:rsid w:val="003717B8"/>
    <w:rsid w:val="00372D55"/>
    <w:rsid w:val="00373C3A"/>
    <w:rsid w:val="003758C6"/>
    <w:rsid w:val="00376C19"/>
    <w:rsid w:val="00381781"/>
    <w:rsid w:val="0038532A"/>
    <w:rsid w:val="003857FA"/>
    <w:rsid w:val="0039156C"/>
    <w:rsid w:val="00392DFE"/>
    <w:rsid w:val="00394130"/>
    <w:rsid w:val="003948CB"/>
    <w:rsid w:val="003971CB"/>
    <w:rsid w:val="003A0876"/>
    <w:rsid w:val="003A096B"/>
    <w:rsid w:val="003A7DC7"/>
    <w:rsid w:val="003B040C"/>
    <w:rsid w:val="003B07DF"/>
    <w:rsid w:val="003B1F3C"/>
    <w:rsid w:val="003B5408"/>
    <w:rsid w:val="003B5B79"/>
    <w:rsid w:val="003B6910"/>
    <w:rsid w:val="003C0E6D"/>
    <w:rsid w:val="003C47A1"/>
    <w:rsid w:val="003C6D12"/>
    <w:rsid w:val="003D57C0"/>
    <w:rsid w:val="003D720E"/>
    <w:rsid w:val="003D75A9"/>
    <w:rsid w:val="003D7711"/>
    <w:rsid w:val="003D7F56"/>
    <w:rsid w:val="003E1FB5"/>
    <w:rsid w:val="003E24BD"/>
    <w:rsid w:val="003E3C69"/>
    <w:rsid w:val="003E6615"/>
    <w:rsid w:val="003E6DCF"/>
    <w:rsid w:val="003F0754"/>
    <w:rsid w:val="003F48A8"/>
    <w:rsid w:val="003F4F74"/>
    <w:rsid w:val="003F7922"/>
    <w:rsid w:val="0040080C"/>
    <w:rsid w:val="00401683"/>
    <w:rsid w:val="004019DD"/>
    <w:rsid w:val="004021CA"/>
    <w:rsid w:val="0040485D"/>
    <w:rsid w:val="004052ED"/>
    <w:rsid w:val="00406327"/>
    <w:rsid w:val="004074D6"/>
    <w:rsid w:val="00407858"/>
    <w:rsid w:val="00410568"/>
    <w:rsid w:val="0041136C"/>
    <w:rsid w:val="0041270E"/>
    <w:rsid w:val="00412B3C"/>
    <w:rsid w:val="00412D25"/>
    <w:rsid w:val="004136D2"/>
    <w:rsid w:val="0041402B"/>
    <w:rsid w:val="00422B38"/>
    <w:rsid w:val="00426537"/>
    <w:rsid w:val="004268DB"/>
    <w:rsid w:val="00431B44"/>
    <w:rsid w:val="00436207"/>
    <w:rsid w:val="004365F5"/>
    <w:rsid w:val="0043761D"/>
    <w:rsid w:val="00442B83"/>
    <w:rsid w:val="004431EB"/>
    <w:rsid w:val="00443613"/>
    <w:rsid w:val="00443773"/>
    <w:rsid w:val="004440C8"/>
    <w:rsid w:val="0045084F"/>
    <w:rsid w:val="004514DC"/>
    <w:rsid w:val="00454A5E"/>
    <w:rsid w:val="004562BE"/>
    <w:rsid w:val="004644B2"/>
    <w:rsid w:val="00464A90"/>
    <w:rsid w:val="0046771C"/>
    <w:rsid w:val="00467FC6"/>
    <w:rsid w:val="004765E2"/>
    <w:rsid w:val="00480579"/>
    <w:rsid w:val="00480F98"/>
    <w:rsid w:val="004817CD"/>
    <w:rsid w:val="00485D25"/>
    <w:rsid w:val="0048717E"/>
    <w:rsid w:val="00493EDB"/>
    <w:rsid w:val="00493F42"/>
    <w:rsid w:val="004940BF"/>
    <w:rsid w:val="0049515A"/>
    <w:rsid w:val="004A1612"/>
    <w:rsid w:val="004A34AB"/>
    <w:rsid w:val="004A75B6"/>
    <w:rsid w:val="004B241B"/>
    <w:rsid w:val="004B3EA2"/>
    <w:rsid w:val="004B488B"/>
    <w:rsid w:val="004B48D2"/>
    <w:rsid w:val="004B4E2C"/>
    <w:rsid w:val="004B6B74"/>
    <w:rsid w:val="004C0B2C"/>
    <w:rsid w:val="004C2094"/>
    <w:rsid w:val="004C3AB4"/>
    <w:rsid w:val="004C7724"/>
    <w:rsid w:val="004C7D74"/>
    <w:rsid w:val="004D0AFA"/>
    <w:rsid w:val="004D17BE"/>
    <w:rsid w:val="004D3F58"/>
    <w:rsid w:val="004D513F"/>
    <w:rsid w:val="004D6A72"/>
    <w:rsid w:val="004E0965"/>
    <w:rsid w:val="004E28C5"/>
    <w:rsid w:val="004E3711"/>
    <w:rsid w:val="004E5496"/>
    <w:rsid w:val="004E5609"/>
    <w:rsid w:val="004E5F9F"/>
    <w:rsid w:val="004E7B51"/>
    <w:rsid w:val="004F1482"/>
    <w:rsid w:val="004F4F6C"/>
    <w:rsid w:val="004F5754"/>
    <w:rsid w:val="004F6708"/>
    <w:rsid w:val="004F6781"/>
    <w:rsid w:val="004F7602"/>
    <w:rsid w:val="005004D4"/>
    <w:rsid w:val="0050121A"/>
    <w:rsid w:val="00502033"/>
    <w:rsid w:val="00505DFC"/>
    <w:rsid w:val="00507848"/>
    <w:rsid w:val="0051483B"/>
    <w:rsid w:val="00516EC5"/>
    <w:rsid w:val="00516F8E"/>
    <w:rsid w:val="00520586"/>
    <w:rsid w:val="005240C5"/>
    <w:rsid w:val="005276CB"/>
    <w:rsid w:val="00527E70"/>
    <w:rsid w:val="005310FC"/>
    <w:rsid w:val="00534D8E"/>
    <w:rsid w:val="005402B4"/>
    <w:rsid w:val="0054067B"/>
    <w:rsid w:val="00543B8A"/>
    <w:rsid w:val="00545160"/>
    <w:rsid w:val="00545D30"/>
    <w:rsid w:val="00550B3B"/>
    <w:rsid w:val="00551456"/>
    <w:rsid w:val="005523B8"/>
    <w:rsid w:val="00553092"/>
    <w:rsid w:val="00560E90"/>
    <w:rsid w:val="00560EF1"/>
    <w:rsid w:val="00562A18"/>
    <w:rsid w:val="005729BD"/>
    <w:rsid w:val="005730FA"/>
    <w:rsid w:val="00573EE1"/>
    <w:rsid w:val="00576F7B"/>
    <w:rsid w:val="00580514"/>
    <w:rsid w:val="005815AD"/>
    <w:rsid w:val="00581B49"/>
    <w:rsid w:val="00583F39"/>
    <w:rsid w:val="00591959"/>
    <w:rsid w:val="00591C69"/>
    <w:rsid w:val="00593539"/>
    <w:rsid w:val="00596073"/>
    <w:rsid w:val="005A1DB7"/>
    <w:rsid w:val="005A5208"/>
    <w:rsid w:val="005A58AD"/>
    <w:rsid w:val="005A744A"/>
    <w:rsid w:val="005B0BBF"/>
    <w:rsid w:val="005B1466"/>
    <w:rsid w:val="005B6CFE"/>
    <w:rsid w:val="005C216A"/>
    <w:rsid w:val="005C5E44"/>
    <w:rsid w:val="005C632C"/>
    <w:rsid w:val="005D033D"/>
    <w:rsid w:val="005D0AA5"/>
    <w:rsid w:val="005D0D42"/>
    <w:rsid w:val="005D144D"/>
    <w:rsid w:val="005D5C0C"/>
    <w:rsid w:val="005D5FC8"/>
    <w:rsid w:val="005E3A00"/>
    <w:rsid w:val="005E4E01"/>
    <w:rsid w:val="005E55F5"/>
    <w:rsid w:val="005F4799"/>
    <w:rsid w:val="005F5559"/>
    <w:rsid w:val="005F56C6"/>
    <w:rsid w:val="005F7FF6"/>
    <w:rsid w:val="00602ED2"/>
    <w:rsid w:val="006048E3"/>
    <w:rsid w:val="00606432"/>
    <w:rsid w:val="0061007B"/>
    <w:rsid w:val="006127F1"/>
    <w:rsid w:val="00612DAF"/>
    <w:rsid w:val="00613278"/>
    <w:rsid w:val="00613A78"/>
    <w:rsid w:val="00613D18"/>
    <w:rsid w:val="006153B6"/>
    <w:rsid w:val="00620F23"/>
    <w:rsid w:val="00624F5B"/>
    <w:rsid w:val="00625E45"/>
    <w:rsid w:val="006273C3"/>
    <w:rsid w:val="00627420"/>
    <w:rsid w:val="00633EE2"/>
    <w:rsid w:val="00634654"/>
    <w:rsid w:val="00634904"/>
    <w:rsid w:val="00634E96"/>
    <w:rsid w:val="006420E7"/>
    <w:rsid w:val="00642898"/>
    <w:rsid w:val="006459BB"/>
    <w:rsid w:val="0065525C"/>
    <w:rsid w:val="006608F8"/>
    <w:rsid w:val="006619D3"/>
    <w:rsid w:val="006622B2"/>
    <w:rsid w:val="00663A28"/>
    <w:rsid w:val="0066712C"/>
    <w:rsid w:val="00670245"/>
    <w:rsid w:val="006751C7"/>
    <w:rsid w:val="0067654F"/>
    <w:rsid w:val="006775AD"/>
    <w:rsid w:val="00682CE9"/>
    <w:rsid w:val="00683467"/>
    <w:rsid w:val="00683C2C"/>
    <w:rsid w:val="00684747"/>
    <w:rsid w:val="0069005D"/>
    <w:rsid w:val="0069261B"/>
    <w:rsid w:val="00694C9B"/>
    <w:rsid w:val="00695F7C"/>
    <w:rsid w:val="006969FC"/>
    <w:rsid w:val="006973A2"/>
    <w:rsid w:val="006A620B"/>
    <w:rsid w:val="006A6534"/>
    <w:rsid w:val="006B2E4F"/>
    <w:rsid w:val="006B3F1F"/>
    <w:rsid w:val="006B470A"/>
    <w:rsid w:val="006B5099"/>
    <w:rsid w:val="006B5C85"/>
    <w:rsid w:val="006C3895"/>
    <w:rsid w:val="006C63B0"/>
    <w:rsid w:val="006D22A5"/>
    <w:rsid w:val="006D2391"/>
    <w:rsid w:val="006D2CFA"/>
    <w:rsid w:val="006D329C"/>
    <w:rsid w:val="006D4109"/>
    <w:rsid w:val="006D6C57"/>
    <w:rsid w:val="006E3DCB"/>
    <w:rsid w:val="006E401D"/>
    <w:rsid w:val="006E6A75"/>
    <w:rsid w:val="007031CC"/>
    <w:rsid w:val="007078B9"/>
    <w:rsid w:val="00711E6D"/>
    <w:rsid w:val="00713DFC"/>
    <w:rsid w:val="00715625"/>
    <w:rsid w:val="007264D0"/>
    <w:rsid w:val="0072695E"/>
    <w:rsid w:val="007301C0"/>
    <w:rsid w:val="00730C6E"/>
    <w:rsid w:val="0073211C"/>
    <w:rsid w:val="0073229D"/>
    <w:rsid w:val="00732F37"/>
    <w:rsid w:val="00734875"/>
    <w:rsid w:val="00742F26"/>
    <w:rsid w:val="00743D45"/>
    <w:rsid w:val="00743F7C"/>
    <w:rsid w:val="00744722"/>
    <w:rsid w:val="00745337"/>
    <w:rsid w:val="00746538"/>
    <w:rsid w:val="0075012C"/>
    <w:rsid w:val="00751073"/>
    <w:rsid w:val="00752285"/>
    <w:rsid w:val="00752455"/>
    <w:rsid w:val="00752A83"/>
    <w:rsid w:val="007547FB"/>
    <w:rsid w:val="00756E72"/>
    <w:rsid w:val="00757A9D"/>
    <w:rsid w:val="00760265"/>
    <w:rsid w:val="00764CB6"/>
    <w:rsid w:val="00766572"/>
    <w:rsid w:val="00770435"/>
    <w:rsid w:val="0077450A"/>
    <w:rsid w:val="0077612E"/>
    <w:rsid w:val="007827F9"/>
    <w:rsid w:val="0078328C"/>
    <w:rsid w:val="007839F3"/>
    <w:rsid w:val="0078429E"/>
    <w:rsid w:val="007877C6"/>
    <w:rsid w:val="00792509"/>
    <w:rsid w:val="00794A95"/>
    <w:rsid w:val="007A2CCC"/>
    <w:rsid w:val="007A3C4A"/>
    <w:rsid w:val="007A4051"/>
    <w:rsid w:val="007A43F0"/>
    <w:rsid w:val="007A44CB"/>
    <w:rsid w:val="007A4EB7"/>
    <w:rsid w:val="007A64C2"/>
    <w:rsid w:val="007B2F39"/>
    <w:rsid w:val="007B7371"/>
    <w:rsid w:val="007C29C7"/>
    <w:rsid w:val="007C615A"/>
    <w:rsid w:val="007C7E48"/>
    <w:rsid w:val="007D0727"/>
    <w:rsid w:val="007D1AE2"/>
    <w:rsid w:val="007E0EE8"/>
    <w:rsid w:val="007E174B"/>
    <w:rsid w:val="007E319B"/>
    <w:rsid w:val="007E3F3A"/>
    <w:rsid w:val="007F0F29"/>
    <w:rsid w:val="007F1925"/>
    <w:rsid w:val="007F38D3"/>
    <w:rsid w:val="007F552E"/>
    <w:rsid w:val="007F5EFB"/>
    <w:rsid w:val="007F61EF"/>
    <w:rsid w:val="00803804"/>
    <w:rsid w:val="00804BA7"/>
    <w:rsid w:val="00804C9F"/>
    <w:rsid w:val="0080594B"/>
    <w:rsid w:val="00805A55"/>
    <w:rsid w:val="00806174"/>
    <w:rsid w:val="00810394"/>
    <w:rsid w:val="008134A2"/>
    <w:rsid w:val="008142DB"/>
    <w:rsid w:val="008149ED"/>
    <w:rsid w:val="008200BD"/>
    <w:rsid w:val="00821776"/>
    <w:rsid w:val="00825EE9"/>
    <w:rsid w:val="00826EFA"/>
    <w:rsid w:val="0083255F"/>
    <w:rsid w:val="00832AA7"/>
    <w:rsid w:val="00834D46"/>
    <w:rsid w:val="00841B8C"/>
    <w:rsid w:val="00842646"/>
    <w:rsid w:val="00850BA5"/>
    <w:rsid w:val="00854A98"/>
    <w:rsid w:val="00855456"/>
    <w:rsid w:val="008600B9"/>
    <w:rsid w:val="00860A50"/>
    <w:rsid w:val="00861C93"/>
    <w:rsid w:val="00862311"/>
    <w:rsid w:val="008639E0"/>
    <w:rsid w:val="008669DC"/>
    <w:rsid w:val="00870D43"/>
    <w:rsid w:val="00870D6C"/>
    <w:rsid w:val="00870DA8"/>
    <w:rsid w:val="00875620"/>
    <w:rsid w:val="008776B3"/>
    <w:rsid w:val="0088407C"/>
    <w:rsid w:val="00887DEA"/>
    <w:rsid w:val="00890771"/>
    <w:rsid w:val="00890D55"/>
    <w:rsid w:val="00890E7C"/>
    <w:rsid w:val="0089720A"/>
    <w:rsid w:val="008A1114"/>
    <w:rsid w:val="008A606F"/>
    <w:rsid w:val="008B0146"/>
    <w:rsid w:val="008B1876"/>
    <w:rsid w:val="008C3181"/>
    <w:rsid w:val="008C4F4C"/>
    <w:rsid w:val="008C58C0"/>
    <w:rsid w:val="008C6ED2"/>
    <w:rsid w:val="008C7B5F"/>
    <w:rsid w:val="008D07FD"/>
    <w:rsid w:val="008D0A48"/>
    <w:rsid w:val="008D246C"/>
    <w:rsid w:val="008D38AE"/>
    <w:rsid w:val="008D5109"/>
    <w:rsid w:val="008D7D28"/>
    <w:rsid w:val="008E1094"/>
    <w:rsid w:val="008E30E0"/>
    <w:rsid w:val="008F1A29"/>
    <w:rsid w:val="008F5842"/>
    <w:rsid w:val="008F763C"/>
    <w:rsid w:val="00901095"/>
    <w:rsid w:val="0090145C"/>
    <w:rsid w:val="0090768B"/>
    <w:rsid w:val="00912676"/>
    <w:rsid w:val="0091579A"/>
    <w:rsid w:val="00923416"/>
    <w:rsid w:val="00925F2E"/>
    <w:rsid w:val="0092694A"/>
    <w:rsid w:val="00930C41"/>
    <w:rsid w:val="0093147B"/>
    <w:rsid w:val="00936DF5"/>
    <w:rsid w:val="009375E5"/>
    <w:rsid w:val="0093763C"/>
    <w:rsid w:val="009402CA"/>
    <w:rsid w:val="00940C3D"/>
    <w:rsid w:val="00943D54"/>
    <w:rsid w:val="00954859"/>
    <w:rsid w:val="00963D3D"/>
    <w:rsid w:val="0096483E"/>
    <w:rsid w:val="0096657A"/>
    <w:rsid w:val="00967D05"/>
    <w:rsid w:val="0097150A"/>
    <w:rsid w:val="00971F82"/>
    <w:rsid w:val="00977A75"/>
    <w:rsid w:val="00977E64"/>
    <w:rsid w:val="00980FFC"/>
    <w:rsid w:val="00982747"/>
    <w:rsid w:val="0098432A"/>
    <w:rsid w:val="00986269"/>
    <w:rsid w:val="009863CF"/>
    <w:rsid w:val="00987D88"/>
    <w:rsid w:val="00991E69"/>
    <w:rsid w:val="009920F5"/>
    <w:rsid w:val="0099237C"/>
    <w:rsid w:val="00992D8D"/>
    <w:rsid w:val="00995A84"/>
    <w:rsid w:val="009961BE"/>
    <w:rsid w:val="009A05CF"/>
    <w:rsid w:val="009A48C5"/>
    <w:rsid w:val="009A62ED"/>
    <w:rsid w:val="009A78E7"/>
    <w:rsid w:val="009B0775"/>
    <w:rsid w:val="009B640B"/>
    <w:rsid w:val="009B6617"/>
    <w:rsid w:val="009B6C08"/>
    <w:rsid w:val="009C5C1F"/>
    <w:rsid w:val="009C656A"/>
    <w:rsid w:val="009D0830"/>
    <w:rsid w:val="009D0E6F"/>
    <w:rsid w:val="009D4BC3"/>
    <w:rsid w:val="009D5036"/>
    <w:rsid w:val="009D7E0A"/>
    <w:rsid w:val="009E2629"/>
    <w:rsid w:val="009E3B95"/>
    <w:rsid w:val="009E59D4"/>
    <w:rsid w:val="009E61CB"/>
    <w:rsid w:val="009F52B5"/>
    <w:rsid w:val="009F5BEB"/>
    <w:rsid w:val="00A003E5"/>
    <w:rsid w:val="00A045DB"/>
    <w:rsid w:val="00A049FC"/>
    <w:rsid w:val="00A1173C"/>
    <w:rsid w:val="00A13E4A"/>
    <w:rsid w:val="00A17EAB"/>
    <w:rsid w:val="00A31156"/>
    <w:rsid w:val="00A31B66"/>
    <w:rsid w:val="00A3257D"/>
    <w:rsid w:val="00A3272B"/>
    <w:rsid w:val="00A32747"/>
    <w:rsid w:val="00A3289D"/>
    <w:rsid w:val="00A36FB4"/>
    <w:rsid w:val="00A43784"/>
    <w:rsid w:val="00A50295"/>
    <w:rsid w:val="00A5343D"/>
    <w:rsid w:val="00A56159"/>
    <w:rsid w:val="00A60AE2"/>
    <w:rsid w:val="00A62472"/>
    <w:rsid w:val="00A62A70"/>
    <w:rsid w:val="00A6310D"/>
    <w:rsid w:val="00A631A3"/>
    <w:rsid w:val="00A6678D"/>
    <w:rsid w:val="00A6717F"/>
    <w:rsid w:val="00A729A3"/>
    <w:rsid w:val="00A75CC4"/>
    <w:rsid w:val="00A80104"/>
    <w:rsid w:val="00A801C3"/>
    <w:rsid w:val="00A8132E"/>
    <w:rsid w:val="00A82F1A"/>
    <w:rsid w:val="00A85560"/>
    <w:rsid w:val="00A8610D"/>
    <w:rsid w:val="00A86703"/>
    <w:rsid w:val="00A951B2"/>
    <w:rsid w:val="00A96F21"/>
    <w:rsid w:val="00AA24D0"/>
    <w:rsid w:val="00AA5EB8"/>
    <w:rsid w:val="00AA6147"/>
    <w:rsid w:val="00AA761C"/>
    <w:rsid w:val="00AA7718"/>
    <w:rsid w:val="00AB2711"/>
    <w:rsid w:val="00AB6E70"/>
    <w:rsid w:val="00AB7B25"/>
    <w:rsid w:val="00AC2B33"/>
    <w:rsid w:val="00AC5677"/>
    <w:rsid w:val="00AC7B51"/>
    <w:rsid w:val="00AD0E6B"/>
    <w:rsid w:val="00AD1B58"/>
    <w:rsid w:val="00AD200C"/>
    <w:rsid w:val="00AD23CC"/>
    <w:rsid w:val="00AD2764"/>
    <w:rsid w:val="00AD2FEB"/>
    <w:rsid w:val="00AD4B19"/>
    <w:rsid w:val="00AD58A4"/>
    <w:rsid w:val="00AE2394"/>
    <w:rsid w:val="00AE3926"/>
    <w:rsid w:val="00AF014C"/>
    <w:rsid w:val="00AF1BAC"/>
    <w:rsid w:val="00AF30E3"/>
    <w:rsid w:val="00AF5EFF"/>
    <w:rsid w:val="00AF6E15"/>
    <w:rsid w:val="00B0039A"/>
    <w:rsid w:val="00B007B4"/>
    <w:rsid w:val="00B07567"/>
    <w:rsid w:val="00B0786B"/>
    <w:rsid w:val="00B14988"/>
    <w:rsid w:val="00B26FEF"/>
    <w:rsid w:val="00B27DAE"/>
    <w:rsid w:val="00B3130A"/>
    <w:rsid w:val="00B370D6"/>
    <w:rsid w:val="00B37A6E"/>
    <w:rsid w:val="00B42E0B"/>
    <w:rsid w:val="00B468FD"/>
    <w:rsid w:val="00B47251"/>
    <w:rsid w:val="00B5234D"/>
    <w:rsid w:val="00B53E59"/>
    <w:rsid w:val="00B5720A"/>
    <w:rsid w:val="00B60B06"/>
    <w:rsid w:val="00B617B1"/>
    <w:rsid w:val="00B6235F"/>
    <w:rsid w:val="00B62CD5"/>
    <w:rsid w:val="00B669F0"/>
    <w:rsid w:val="00B67D4B"/>
    <w:rsid w:val="00B717B9"/>
    <w:rsid w:val="00B77740"/>
    <w:rsid w:val="00B77F2D"/>
    <w:rsid w:val="00B819FF"/>
    <w:rsid w:val="00B82F58"/>
    <w:rsid w:val="00B841CF"/>
    <w:rsid w:val="00B8539E"/>
    <w:rsid w:val="00B86C2E"/>
    <w:rsid w:val="00B87662"/>
    <w:rsid w:val="00B87DA4"/>
    <w:rsid w:val="00B918FB"/>
    <w:rsid w:val="00B922B0"/>
    <w:rsid w:val="00B92E45"/>
    <w:rsid w:val="00B94DDC"/>
    <w:rsid w:val="00B950C8"/>
    <w:rsid w:val="00B95515"/>
    <w:rsid w:val="00B96AD3"/>
    <w:rsid w:val="00BA084E"/>
    <w:rsid w:val="00BA09F2"/>
    <w:rsid w:val="00BA55DC"/>
    <w:rsid w:val="00BA5FED"/>
    <w:rsid w:val="00BA6007"/>
    <w:rsid w:val="00BB0672"/>
    <w:rsid w:val="00BB279A"/>
    <w:rsid w:val="00BB2BE9"/>
    <w:rsid w:val="00BB532B"/>
    <w:rsid w:val="00BB5782"/>
    <w:rsid w:val="00BB6878"/>
    <w:rsid w:val="00BB7021"/>
    <w:rsid w:val="00BB73D5"/>
    <w:rsid w:val="00BC2995"/>
    <w:rsid w:val="00BC6D89"/>
    <w:rsid w:val="00BC74CA"/>
    <w:rsid w:val="00BD2529"/>
    <w:rsid w:val="00BD2F8A"/>
    <w:rsid w:val="00BD5EFC"/>
    <w:rsid w:val="00BD7C3B"/>
    <w:rsid w:val="00BE233D"/>
    <w:rsid w:val="00BE4C85"/>
    <w:rsid w:val="00BE6040"/>
    <w:rsid w:val="00BE7276"/>
    <w:rsid w:val="00BF312A"/>
    <w:rsid w:val="00BF41B5"/>
    <w:rsid w:val="00C00328"/>
    <w:rsid w:val="00C04078"/>
    <w:rsid w:val="00C04863"/>
    <w:rsid w:val="00C05D17"/>
    <w:rsid w:val="00C06485"/>
    <w:rsid w:val="00C11AFB"/>
    <w:rsid w:val="00C12DB0"/>
    <w:rsid w:val="00C13644"/>
    <w:rsid w:val="00C15854"/>
    <w:rsid w:val="00C25C36"/>
    <w:rsid w:val="00C26FEE"/>
    <w:rsid w:val="00C276F1"/>
    <w:rsid w:val="00C34413"/>
    <w:rsid w:val="00C373E3"/>
    <w:rsid w:val="00C40CC4"/>
    <w:rsid w:val="00C4243D"/>
    <w:rsid w:val="00C42DF6"/>
    <w:rsid w:val="00C470A7"/>
    <w:rsid w:val="00C50C9C"/>
    <w:rsid w:val="00C567D7"/>
    <w:rsid w:val="00C606EB"/>
    <w:rsid w:val="00C668FF"/>
    <w:rsid w:val="00C66984"/>
    <w:rsid w:val="00C70596"/>
    <w:rsid w:val="00C729AD"/>
    <w:rsid w:val="00C731DB"/>
    <w:rsid w:val="00C748C6"/>
    <w:rsid w:val="00C832D6"/>
    <w:rsid w:val="00C8340E"/>
    <w:rsid w:val="00C8520F"/>
    <w:rsid w:val="00C852D4"/>
    <w:rsid w:val="00C90CE4"/>
    <w:rsid w:val="00C93E1C"/>
    <w:rsid w:val="00C979EA"/>
    <w:rsid w:val="00CA1F35"/>
    <w:rsid w:val="00CA4118"/>
    <w:rsid w:val="00CA4FB5"/>
    <w:rsid w:val="00CA5766"/>
    <w:rsid w:val="00CA6012"/>
    <w:rsid w:val="00CA6107"/>
    <w:rsid w:val="00CA62A7"/>
    <w:rsid w:val="00CA7602"/>
    <w:rsid w:val="00CB11E2"/>
    <w:rsid w:val="00CB1E56"/>
    <w:rsid w:val="00CB4D3E"/>
    <w:rsid w:val="00CC3368"/>
    <w:rsid w:val="00CD6437"/>
    <w:rsid w:val="00CE376D"/>
    <w:rsid w:val="00CE7272"/>
    <w:rsid w:val="00CE7D6B"/>
    <w:rsid w:val="00CF033C"/>
    <w:rsid w:val="00CF3023"/>
    <w:rsid w:val="00CF531C"/>
    <w:rsid w:val="00D002E0"/>
    <w:rsid w:val="00D05777"/>
    <w:rsid w:val="00D061E4"/>
    <w:rsid w:val="00D10462"/>
    <w:rsid w:val="00D12810"/>
    <w:rsid w:val="00D13D66"/>
    <w:rsid w:val="00D155A0"/>
    <w:rsid w:val="00D1637C"/>
    <w:rsid w:val="00D16D68"/>
    <w:rsid w:val="00D17049"/>
    <w:rsid w:val="00D170CB"/>
    <w:rsid w:val="00D207C7"/>
    <w:rsid w:val="00D20E43"/>
    <w:rsid w:val="00D20F9E"/>
    <w:rsid w:val="00D274AF"/>
    <w:rsid w:val="00D2776C"/>
    <w:rsid w:val="00D317B8"/>
    <w:rsid w:val="00D32625"/>
    <w:rsid w:val="00D35731"/>
    <w:rsid w:val="00D35AF2"/>
    <w:rsid w:val="00D41710"/>
    <w:rsid w:val="00D43AEC"/>
    <w:rsid w:val="00D45708"/>
    <w:rsid w:val="00D50343"/>
    <w:rsid w:val="00D55437"/>
    <w:rsid w:val="00D60FA7"/>
    <w:rsid w:val="00D618F5"/>
    <w:rsid w:val="00D632F1"/>
    <w:rsid w:val="00D63397"/>
    <w:rsid w:val="00D63D25"/>
    <w:rsid w:val="00D7254C"/>
    <w:rsid w:val="00D75666"/>
    <w:rsid w:val="00D76E2B"/>
    <w:rsid w:val="00D80A23"/>
    <w:rsid w:val="00D80A9D"/>
    <w:rsid w:val="00D80F1A"/>
    <w:rsid w:val="00D814A6"/>
    <w:rsid w:val="00D823F2"/>
    <w:rsid w:val="00D83849"/>
    <w:rsid w:val="00D83C58"/>
    <w:rsid w:val="00D8466C"/>
    <w:rsid w:val="00D84763"/>
    <w:rsid w:val="00D84980"/>
    <w:rsid w:val="00D85278"/>
    <w:rsid w:val="00D866EE"/>
    <w:rsid w:val="00D911ED"/>
    <w:rsid w:val="00D92579"/>
    <w:rsid w:val="00D929B3"/>
    <w:rsid w:val="00DA1A68"/>
    <w:rsid w:val="00DA3154"/>
    <w:rsid w:val="00DA5272"/>
    <w:rsid w:val="00DA737D"/>
    <w:rsid w:val="00DB042E"/>
    <w:rsid w:val="00DB2C7D"/>
    <w:rsid w:val="00DB4055"/>
    <w:rsid w:val="00DB7EE8"/>
    <w:rsid w:val="00DC1CA1"/>
    <w:rsid w:val="00DC5463"/>
    <w:rsid w:val="00DC7C40"/>
    <w:rsid w:val="00DD0404"/>
    <w:rsid w:val="00DD1F52"/>
    <w:rsid w:val="00DD447B"/>
    <w:rsid w:val="00DE1083"/>
    <w:rsid w:val="00DE1746"/>
    <w:rsid w:val="00DE24EE"/>
    <w:rsid w:val="00DE42E2"/>
    <w:rsid w:val="00DE4F43"/>
    <w:rsid w:val="00DF0AFB"/>
    <w:rsid w:val="00DF3A1E"/>
    <w:rsid w:val="00DF6546"/>
    <w:rsid w:val="00DF67C9"/>
    <w:rsid w:val="00E039BA"/>
    <w:rsid w:val="00E0583F"/>
    <w:rsid w:val="00E0671B"/>
    <w:rsid w:val="00E103B2"/>
    <w:rsid w:val="00E162FA"/>
    <w:rsid w:val="00E1680A"/>
    <w:rsid w:val="00E16E10"/>
    <w:rsid w:val="00E21718"/>
    <w:rsid w:val="00E2384D"/>
    <w:rsid w:val="00E27C37"/>
    <w:rsid w:val="00E309BC"/>
    <w:rsid w:val="00E32BA8"/>
    <w:rsid w:val="00E334F7"/>
    <w:rsid w:val="00E35232"/>
    <w:rsid w:val="00E35A3E"/>
    <w:rsid w:val="00E35A4C"/>
    <w:rsid w:val="00E361CC"/>
    <w:rsid w:val="00E413CF"/>
    <w:rsid w:val="00E428AC"/>
    <w:rsid w:val="00E452CE"/>
    <w:rsid w:val="00E561E9"/>
    <w:rsid w:val="00E60182"/>
    <w:rsid w:val="00E61F65"/>
    <w:rsid w:val="00E63FEB"/>
    <w:rsid w:val="00E64AC0"/>
    <w:rsid w:val="00E64DDD"/>
    <w:rsid w:val="00E65B32"/>
    <w:rsid w:val="00E66CCF"/>
    <w:rsid w:val="00E718D9"/>
    <w:rsid w:val="00E73978"/>
    <w:rsid w:val="00E756DB"/>
    <w:rsid w:val="00E833F8"/>
    <w:rsid w:val="00E921FA"/>
    <w:rsid w:val="00E95F07"/>
    <w:rsid w:val="00E965CC"/>
    <w:rsid w:val="00E96868"/>
    <w:rsid w:val="00EA28FF"/>
    <w:rsid w:val="00EA2FD2"/>
    <w:rsid w:val="00EA606F"/>
    <w:rsid w:val="00EB2791"/>
    <w:rsid w:val="00EB3CF4"/>
    <w:rsid w:val="00EB4696"/>
    <w:rsid w:val="00EB48D8"/>
    <w:rsid w:val="00EB7B62"/>
    <w:rsid w:val="00EC268A"/>
    <w:rsid w:val="00EC54AB"/>
    <w:rsid w:val="00EC5762"/>
    <w:rsid w:val="00EC7F71"/>
    <w:rsid w:val="00EC7FD2"/>
    <w:rsid w:val="00ED12A4"/>
    <w:rsid w:val="00ED2788"/>
    <w:rsid w:val="00ED34B5"/>
    <w:rsid w:val="00ED49EF"/>
    <w:rsid w:val="00ED577F"/>
    <w:rsid w:val="00ED6304"/>
    <w:rsid w:val="00ED65EA"/>
    <w:rsid w:val="00EE1D92"/>
    <w:rsid w:val="00EE2C2E"/>
    <w:rsid w:val="00EF22CB"/>
    <w:rsid w:val="00EF53FE"/>
    <w:rsid w:val="00F01986"/>
    <w:rsid w:val="00F067E1"/>
    <w:rsid w:val="00F07615"/>
    <w:rsid w:val="00F10C3D"/>
    <w:rsid w:val="00F13204"/>
    <w:rsid w:val="00F1579B"/>
    <w:rsid w:val="00F202B9"/>
    <w:rsid w:val="00F21925"/>
    <w:rsid w:val="00F303C7"/>
    <w:rsid w:val="00F311C1"/>
    <w:rsid w:val="00F34B9C"/>
    <w:rsid w:val="00F37665"/>
    <w:rsid w:val="00F40EEF"/>
    <w:rsid w:val="00F41454"/>
    <w:rsid w:val="00F41687"/>
    <w:rsid w:val="00F516FA"/>
    <w:rsid w:val="00F5353F"/>
    <w:rsid w:val="00F5437C"/>
    <w:rsid w:val="00F56305"/>
    <w:rsid w:val="00F61233"/>
    <w:rsid w:val="00F71728"/>
    <w:rsid w:val="00F71803"/>
    <w:rsid w:val="00F7286B"/>
    <w:rsid w:val="00F80898"/>
    <w:rsid w:val="00F80FCE"/>
    <w:rsid w:val="00F82276"/>
    <w:rsid w:val="00F82DC3"/>
    <w:rsid w:val="00F832D5"/>
    <w:rsid w:val="00F84F38"/>
    <w:rsid w:val="00F87780"/>
    <w:rsid w:val="00F90E70"/>
    <w:rsid w:val="00F90F8B"/>
    <w:rsid w:val="00F935D5"/>
    <w:rsid w:val="00F94E79"/>
    <w:rsid w:val="00FA4491"/>
    <w:rsid w:val="00FA45F0"/>
    <w:rsid w:val="00FA4DE8"/>
    <w:rsid w:val="00FA519E"/>
    <w:rsid w:val="00FA5BA8"/>
    <w:rsid w:val="00FB1BDA"/>
    <w:rsid w:val="00FB3792"/>
    <w:rsid w:val="00FB5F33"/>
    <w:rsid w:val="00FC0B42"/>
    <w:rsid w:val="00FC19BF"/>
    <w:rsid w:val="00FC4069"/>
    <w:rsid w:val="00FC5A94"/>
    <w:rsid w:val="00FC5AF6"/>
    <w:rsid w:val="00FD00CD"/>
    <w:rsid w:val="00FD268F"/>
    <w:rsid w:val="00FD3E2C"/>
    <w:rsid w:val="00FD605C"/>
    <w:rsid w:val="00FD7D07"/>
    <w:rsid w:val="00FE3257"/>
    <w:rsid w:val="00FE794C"/>
    <w:rsid w:val="00FF014E"/>
    <w:rsid w:val="00FF2DD4"/>
    <w:rsid w:val="00FF3354"/>
    <w:rsid w:val="00FF391E"/>
    <w:rsid w:val="00FF643D"/>
    <w:rsid w:val="00FF7017"/>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38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uiPriority w:val="99"/>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CommentReference">
    <w:name w:val="annotation reference"/>
    <w:uiPriority w:val="99"/>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table" w:styleId="TableGrid">
    <w:name w:val="Table Grid"/>
    <w:basedOn w:val="TableNormal"/>
    <w:uiPriority w:val="59"/>
    <w:rsid w:val="002E5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E55F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1680A"/>
    <w:rPr>
      <w:rFonts w:ascii="Times New Roman" w:eastAsia="Times New Roman" w:hAnsi="Times New Roman"/>
    </w:rPr>
  </w:style>
  <w:style w:type="character" w:customStyle="1" w:styleId="FootnoteTextChar">
    <w:name w:val="Footnote Text Char"/>
    <w:basedOn w:val="DefaultParagraphFont"/>
    <w:link w:val="FootnoteText"/>
    <w:uiPriority w:val="99"/>
    <w:rsid w:val="00CE7D6B"/>
    <w:rPr>
      <w:rFonts w:ascii="Times New Roman" w:eastAsia="Times New Roman" w:hAnsi="Times New Roman"/>
    </w:rPr>
  </w:style>
  <w:style w:type="character" w:styleId="PlaceholderText">
    <w:name w:val="Placeholder Text"/>
    <w:basedOn w:val="DefaultParagraphFont"/>
    <w:uiPriority w:val="99"/>
    <w:semiHidden/>
    <w:rsid w:val="00B77740"/>
    <w:rPr>
      <w:color w:val="808080"/>
    </w:rPr>
  </w:style>
  <w:style w:type="character" w:customStyle="1" w:styleId="CommentTextChar">
    <w:name w:val="Comment Text Char"/>
    <w:basedOn w:val="DefaultParagraphFont"/>
    <w:link w:val="CommentText"/>
    <w:uiPriority w:val="99"/>
    <w:semiHidden/>
    <w:rsid w:val="00266C72"/>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uiPriority w:val="99"/>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CommentReference">
    <w:name w:val="annotation reference"/>
    <w:uiPriority w:val="99"/>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table" w:styleId="TableGrid">
    <w:name w:val="Table Grid"/>
    <w:basedOn w:val="TableNormal"/>
    <w:uiPriority w:val="59"/>
    <w:rsid w:val="002E5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E55F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1680A"/>
    <w:rPr>
      <w:rFonts w:ascii="Times New Roman" w:eastAsia="Times New Roman" w:hAnsi="Times New Roman"/>
    </w:rPr>
  </w:style>
  <w:style w:type="character" w:customStyle="1" w:styleId="FootnoteTextChar">
    <w:name w:val="Footnote Text Char"/>
    <w:basedOn w:val="DefaultParagraphFont"/>
    <w:link w:val="FootnoteText"/>
    <w:uiPriority w:val="99"/>
    <w:rsid w:val="00CE7D6B"/>
    <w:rPr>
      <w:rFonts w:ascii="Times New Roman" w:eastAsia="Times New Roman" w:hAnsi="Times New Roman"/>
    </w:rPr>
  </w:style>
  <w:style w:type="character" w:styleId="PlaceholderText">
    <w:name w:val="Placeholder Text"/>
    <w:basedOn w:val="DefaultParagraphFont"/>
    <w:uiPriority w:val="99"/>
    <w:semiHidden/>
    <w:rsid w:val="00B77740"/>
    <w:rPr>
      <w:color w:val="808080"/>
    </w:rPr>
  </w:style>
  <w:style w:type="character" w:customStyle="1" w:styleId="CommentTextChar">
    <w:name w:val="Comment Text Char"/>
    <w:basedOn w:val="DefaultParagraphFont"/>
    <w:link w:val="CommentText"/>
    <w:uiPriority w:val="99"/>
    <w:semiHidden/>
    <w:rsid w:val="00266C7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270">
      <w:bodyDiv w:val="1"/>
      <w:marLeft w:val="0"/>
      <w:marRight w:val="0"/>
      <w:marTop w:val="0"/>
      <w:marBottom w:val="0"/>
      <w:divBdr>
        <w:top w:val="none" w:sz="0" w:space="0" w:color="auto"/>
        <w:left w:val="none" w:sz="0" w:space="0" w:color="auto"/>
        <w:bottom w:val="none" w:sz="0" w:space="0" w:color="auto"/>
        <w:right w:val="none" w:sz="0" w:space="0" w:color="auto"/>
      </w:divBdr>
    </w:div>
    <w:div w:id="196892438">
      <w:bodyDiv w:val="1"/>
      <w:marLeft w:val="0"/>
      <w:marRight w:val="0"/>
      <w:marTop w:val="0"/>
      <w:marBottom w:val="0"/>
      <w:divBdr>
        <w:top w:val="none" w:sz="0" w:space="0" w:color="auto"/>
        <w:left w:val="none" w:sz="0" w:space="0" w:color="auto"/>
        <w:bottom w:val="none" w:sz="0" w:space="0" w:color="auto"/>
        <w:right w:val="none" w:sz="0" w:space="0" w:color="auto"/>
      </w:divBdr>
    </w:div>
    <w:div w:id="381365826">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430051013">
      <w:bodyDiv w:val="1"/>
      <w:marLeft w:val="0"/>
      <w:marRight w:val="0"/>
      <w:marTop w:val="0"/>
      <w:marBottom w:val="0"/>
      <w:divBdr>
        <w:top w:val="none" w:sz="0" w:space="0" w:color="auto"/>
        <w:left w:val="none" w:sz="0" w:space="0" w:color="auto"/>
        <w:bottom w:val="none" w:sz="0" w:space="0" w:color="auto"/>
        <w:right w:val="none" w:sz="0" w:space="0" w:color="auto"/>
      </w:divBdr>
    </w:div>
    <w:div w:id="493961351">
      <w:bodyDiv w:val="1"/>
      <w:marLeft w:val="0"/>
      <w:marRight w:val="0"/>
      <w:marTop w:val="0"/>
      <w:marBottom w:val="0"/>
      <w:divBdr>
        <w:top w:val="none" w:sz="0" w:space="0" w:color="auto"/>
        <w:left w:val="none" w:sz="0" w:space="0" w:color="auto"/>
        <w:bottom w:val="none" w:sz="0" w:space="0" w:color="auto"/>
        <w:right w:val="none" w:sz="0" w:space="0" w:color="auto"/>
      </w:divBdr>
    </w:div>
    <w:div w:id="596714576">
      <w:bodyDiv w:val="1"/>
      <w:marLeft w:val="0"/>
      <w:marRight w:val="0"/>
      <w:marTop w:val="0"/>
      <w:marBottom w:val="0"/>
      <w:divBdr>
        <w:top w:val="none" w:sz="0" w:space="0" w:color="auto"/>
        <w:left w:val="none" w:sz="0" w:space="0" w:color="auto"/>
        <w:bottom w:val="none" w:sz="0" w:space="0" w:color="auto"/>
        <w:right w:val="none" w:sz="0" w:space="0" w:color="auto"/>
      </w:divBdr>
    </w:div>
    <w:div w:id="748621512">
      <w:bodyDiv w:val="1"/>
      <w:marLeft w:val="0"/>
      <w:marRight w:val="0"/>
      <w:marTop w:val="0"/>
      <w:marBottom w:val="0"/>
      <w:divBdr>
        <w:top w:val="none" w:sz="0" w:space="0" w:color="auto"/>
        <w:left w:val="none" w:sz="0" w:space="0" w:color="auto"/>
        <w:bottom w:val="none" w:sz="0" w:space="0" w:color="auto"/>
        <w:right w:val="none" w:sz="0" w:space="0" w:color="auto"/>
      </w:divBdr>
    </w:div>
    <w:div w:id="792748695">
      <w:bodyDiv w:val="1"/>
      <w:marLeft w:val="0"/>
      <w:marRight w:val="0"/>
      <w:marTop w:val="0"/>
      <w:marBottom w:val="0"/>
      <w:divBdr>
        <w:top w:val="none" w:sz="0" w:space="0" w:color="auto"/>
        <w:left w:val="none" w:sz="0" w:space="0" w:color="auto"/>
        <w:bottom w:val="none" w:sz="0" w:space="0" w:color="auto"/>
        <w:right w:val="none" w:sz="0" w:space="0" w:color="auto"/>
      </w:divBdr>
    </w:div>
    <w:div w:id="829058381">
      <w:bodyDiv w:val="1"/>
      <w:marLeft w:val="0"/>
      <w:marRight w:val="0"/>
      <w:marTop w:val="0"/>
      <w:marBottom w:val="0"/>
      <w:divBdr>
        <w:top w:val="none" w:sz="0" w:space="0" w:color="auto"/>
        <w:left w:val="none" w:sz="0" w:space="0" w:color="auto"/>
        <w:bottom w:val="none" w:sz="0" w:space="0" w:color="auto"/>
        <w:right w:val="none" w:sz="0" w:space="0" w:color="auto"/>
      </w:divBdr>
    </w:div>
    <w:div w:id="838498700">
      <w:bodyDiv w:val="1"/>
      <w:marLeft w:val="0"/>
      <w:marRight w:val="0"/>
      <w:marTop w:val="0"/>
      <w:marBottom w:val="0"/>
      <w:divBdr>
        <w:top w:val="none" w:sz="0" w:space="0" w:color="auto"/>
        <w:left w:val="none" w:sz="0" w:space="0" w:color="auto"/>
        <w:bottom w:val="none" w:sz="0" w:space="0" w:color="auto"/>
        <w:right w:val="none" w:sz="0" w:space="0" w:color="auto"/>
      </w:divBdr>
    </w:div>
    <w:div w:id="840125748">
      <w:bodyDiv w:val="1"/>
      <w:marLeft w:val="0"/>
      <w:marRight w:val="0"/>
      <w:marTop w:val="0"/>
      <w:marBottom w:val="0"/>
      <w:divBdr>
        <w:top w:val="none" w:sz="0" w:space="0" w:color="auto"/>
        <w:left w:val="none" w:sz="0" w:space="0" w:color="auto"/>
        <w:bottom w:val="none" w:sz="0" w:space="0" w:color="auto"/>
        <w:right w:val="none" w:sz="0" w:space="0" w:color="auto"/>
      </w:divBdr>
    </w:div>
    <w:div w:id="883757493">
      <w:bodyDiv w:val="1"/>
      <w:marLeft w:val="0"/>
      <w:marRight w:val="0"/>
      <w:marTop w:val="0"/>
      <w:marBottom w:val="0"/>
      <w:divBdr>
        <w:top w:val="none" w:sz="0" w:space="0" w:color="auto"/>
        <w:left w:val="none" w:sz="0" w:space="0" w:color="auto"/>
        <w:bottom w:val="none" w:sz="0" w:space="0" w:color="auto"/>
        <w:right w:val="none" w:sz="0" w:space="0" w:color="auto"/>
      </w:divBdr>
    </w:div>
    <w:div w:id="894852092">
      <w:bodyDiv w:val="1"/>
      <w:marLeft w:val="0"/>
      <w:marRight w:val="0"/>
      <w:marTop w:val="0"/>
      <w:marBottom w:val="0"/>
      <w:divBdr>
        <w:top w:val="none" w:sz="0" w:space="0" w:color="auto"/>
        <w:left w:val="none" w:sz="0" w:space="0" w:color="auto"/>
        <w:bottom w:val="none" w:sz="0" w:space="0" w:color="auto"/>
        <w:right w:val="none" w:sz="0" w:space="0" w:color="auto"/>
      </w:divBdr>
    </w:div>
    <w:div w:id="916138271">
      <w:bodyDiv w:val="1"/>
      <w:marLeft w:val="0"/>
      <w:marRight w:val="0"/>
      <w:marTop w:val="0"/>
      <w:marBottom w:val="0"/>
      <w:divBdr>
        <w:top w:val="none" w:sz="0" w:space="0" w:color="auto"/>
        <w:left w:val="none" w:sz="0" w:space="0" w:color="auto"/>
        <w:bottom w:val="none" w:sz="0" w:space="0" w:color="auto"/>
        <w:right w:val="none" w:sz="0" w:space="0" w:color="auto"/>
      </w:divBdr>
    </w:div>
    <w:div w:id="1020081672">
      <w:bodyDiv w:val="1"/>
      <w:marLeft w:val="0"/>
      <w:marRight w:val="0"/>
      <w:marTop w:val="0"/>
      <w:marBottom w:val="0"/>
      <w:divBdr>
        <w:top w:val="none" w:sz="0" w:space="0" w:color="auto"/>
        <w:left w:val="none" w:sz="0" w:space="0" w:color="auto"/>
        <w:bottom w:val="none" w:sz="0" w:space="0" w:color="auto"/>
        <w:right w:val="none" w:sz="0" w:space="0" w:color="auto"/>
      </w:divBdr>
    </w:div>
    <w:div w:id="1130588274">
      <w:bodyDiv w:val="1"/>
      <w:marLeft w:val="0"/>
      <w:marRight w:val="0"/>
      <w:marTop w:val="0"/>
      <w:marBottom w:val="0"/>
      <w:divBdr>
        <w:top w:val="none" w:sz="0" w:space="0" w:color="auto"/>
        <w:left w:val="none" w:sz="0" w:space="0" w:color="auto"/>
        <w:bottom w:val="none" w:sz="0" w:space="0" w:color="auto"/>
        <w:right w:val="none" w:sz="0" w:space="0" w:color="auto"/>
      </w:divBdr>
    </w:div>
    <w:div w:id="1175417077">
      <w:bodyDiv w:val="1"/>
      <w:marLeft w:val="0"/>
      <w:marRight w:val="0"/>
      <w:marTop w:val="0"/>
      <w:marBottom w:val="0"/>
      <w:divBdr>
        <w:top w:val="none" w:sz="0" w:space="0" w:color="auto"/>
        <w:left w:val="none" w:sz="0" w:space="0" w:color="auto"/>
        <w:bottom w:val="none" w:sz="0" w:space="0" w:color="auto"/>
        <w:right w:val="none" w:sz="0" w:space="0" w:color="auto"/>
      </w:divBdr>
    </w:div>
    <w:div w:id="1189762209">
      <w:bodyDiv w:val="1"/>
      <w:marLeft w:val="0"/>
      <w:marRight w:val="0"/>
      <w:marTop w:val="0"/>
      <w:marBottom w:val="0"/>
      <w:divBdr>
        <w:top w:val="none" w:sz="0" w:space="0" w:color="auto"/>
        <w:left w:val="none" w:sz="0" w:space="0" w:color="auto"/>
        <w:bottom w:val="none" w:sz="0" w:space="0" w:color="auto"/>
        <w:right w:val="none" w:sz="0" w:space="0" w:color="auto"/>
      </w:divBdr>
    </w:div>
    <w:div w:id="1285230609">
      <w:bodyDiv w:val="1"/>
      <w:marLeft w:val="0"/>
      <w:marRight w:val="0"/>
      <w:marTop w:val="0"/>
      <w:marBottom w:val="0"/>
      <w:divBdr>
        <w:top w:val="none" w:sz="0" w:space="0" w:color="auto"/>
        <w:left w:val="none" w:sz="0" w:space="0" w:color="auto"/>
        <w:bottom w:val="none" w:sz="0" w:space="0" w:color="auto"/>
        <w:right w:val="none" w:sz="0" w:space="0" w:color="auto"/>
      </w:divBdr>
    </w:div>
    <w:div w:id="1399481177">
      <w:bodyDiv w:val="1"/>
      <w:marLeft w:val="0"/>
      <w:marRight w:val="0"/>
      <w:marTop w:val="0"/>
      <w:marBottom w:val="0"/>
      <w:divBdr>
        <w:top w:val="none" w:sz="0" w:space="0" w:color="auto"/>
        <w:left w:val="none" w:sz="0" w:space="0" w:color="auto"/>
        <w:bottom w:val="none" w:sz="0" w:space="0" w:color="auto"/>
        <w:right w:val="none" w:sz="0" w:space="0" w:color="auto"/>
      </w:divBdr>
    </w:div>
    <w:div w:id="1454593256">
      <w:bodyDiv w:val="1"/>
      <w:marLeft w:val="0"/>
      <w:marRight w:val="0"/>
      <w:marTop w:val="0"/>
      <w:marBottom w:val="0"/>
      <w:divBdr>
        <w:top w:val="none" w:sz="0" w:space="0" w:color="auto"/>
        <w:left w:val="none" w:sz="0" w:space="0" w:color="auto"/>
        <w:bottom w:val="none" w:sz="0" w:space="0" w:color="auto"/>
        <w:right w:val="none" w:sz="0" w:space="0" w:color="auto"/>
      </w:divBdr>
    </w:div>
    <w:div w:id="1508978717">
      <w:bodyDiv w:val="1"/>
      <w:marLeft w:val="0"/>
      <w:marRight w:val="0"/>
      <w:marTop w:val="0"/>
      <w:marBottom w:val="0"/>
      <w:divBdr>
        <w:top w:val="none" w:sz="0" w:space="0" w:color="auto"/>
        <w:left w:val="none" w:sz="0" w:space="0" w:color="auto"/>
        <w:bottom w:val="none" w:sz="0" w:space="0" w:color="auto"/>
        <w:right w:val="none" w:sz="0" w:space="0" w:color="auto"/>
      </w:divBdr>
    </w:div>
    <w:div w:id="1629508078">
      <w:bodyDiv w:val="1"/>
      <w:marLeft w:val="0"/>
      <w:marRight w:val="0"/>
      <w:marTop w:val="0"/>
      <w:marBottom w:val="0"/>
      <w:divBdr>
        <w:top w:val="none" w:sz="0" w:space="0" w:color="auto"/>
        <w:left w:val="none" w:sz="0" w:space="0" w:color="auto"/>
        <w:bottom w:val="none" w:sz="0" w:space="0" w:color="auto"/>
        <w:right w:val="none" w:sz="0" w:space="0" w:color="auto"/>
      </w:divBdr>
    </w:div>
    <w:div w:id="1760787572">
      <w:bodyDiv w:val="1"/>
      <w:marLeft w:val="0"/>
      <w:marRight w:val="0"/>
      <w:marTop w:val="0"/>
      <w:marBottom w:val="0"/>
      <w:divBdr>
        <w:top w:val="none" w:sz="0" w:space="0" w:color="auto"/>
        <w:left w:val="none" w:sz="0" w:space="0" w:color="auto"/>
        <w:bottom w:val="none" w:sz="0" w:space="0" w:color="auto"/>
        <w:right w:val="none" w:sz="0" w:space="0" w:color="auto"/>
      </w:divBdr>
    </w:div>
    <w:div w:id="1783913474">
      <w:bodyDiv w:val="1"/>
      <w:marLeft w:val="0"/>
      <w:marRight w:val="0"/>
      <w:marTop w:val="0"/>
      <w:marBottom w:val="0"/>
      <w:divBdr>
        <w:top w:val="none" w:sz="0" w:space="0" w:color="auto"/>
        <w:left w:val="none" w:sz="0" w:space="0" w:color="auto"/>
        <w:bottom w:val="none" w:sz="0" w:space="0" w:color="auto"/>
        <w:right w:val="none" w:sz="0" w:space="0" w:color="auto"/>
      </w:divBdr>
    </w:div>
    <w:div w:id="1846168735">
      <w:bodyDiv w:val="1"/>
      <w:marLeft w:val="0"/>
      <w:marRight w:val="0"/>
      <w:marTop w:val="0"/>
      <w:marBottom w:val="0"/>
      <w:divBdr>
        <w:top w:val="none" w:sz="0" w:space="0" w:color="auto"/>
        <w:left w:val="none" w:sz="0" w:space="0" w:color="auto"/>
        <w:bottom w:val="none" w:sz="0" w:space="0" w:color="auto"/>
        <w:right w:val="none" w:sz="0" w:space="0" w:color="auto"/>
      </w:divBdr>
    </w:div>
    <w:div w:id="1906602421">
      <w:bodyDiv w:val="1"/>
      <w:marLeft w:val="0"/>
      <w:marRight w:val="0"/>
      <w:marTop w:val="0"/>
      <w:marBottom w:val="0"/>
      <w:divBdr>
        <w:top w:val="none" w:sz="0" w:space="0" w:color="auto"/>
        <w:left w:val="none" w:sz="0" w:space="0" w:color="auto"/>
        <w:bottom w:val="none" w:sz="0" w:space="0" w:color="auto"/>
        <w:right w:val="none" w:sz="0" w:space="0" w:color="auto"/>
      </w:divBdr>
    </w:div>
    <w:div w:id="20751546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factfinder2.census.gov/faces/tableservices/jsf/pages/productview.xhtml%3Fpid=ACS_12_5YR_DP03%26prodType=table"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image" Target="media/image7.emf"/><Relationship Id="rId17" Type="http://schemas.openxmlformats.org/officeDocument/2006/relationships/image" Target="media/image8.emf"/><Relationship Id="rId18" Type="http://schemas.openxmlformats.org/officeDocument/2006/relationships/image" Target="media/image9.emf"/><Relationship Id="rId19" Type="http://schemas.openxmlformats.org/officeDocument/2006/relationships/hyperlink" Target="http://www.census.gov/acs/www/Downloads/questionnaires/2012/Quest12.pdf"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35D1-4565-2D4F-B9BA-4ABDD7B5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6207</Words>
  <Characters>35380</Characters>
  <Application>Microsoft Macintosh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41504</CharactersWithSpaces>
  <SharedDoc>false</SharedDoc>
  <HLinks>
    <vt:vector size="48" baseType="variant">
      <vt:variant>
        <vt:i4>196681</vt:i4>
      </vt:variant>
      <vt:variant>
        <vt:i4>0</vt:i4>
      </vt:variant>
      <vt:variant>
        <vt:i4>0</vt:i4>
      </vt:variant>
      <vt:variant>
        <vt:i4>5</vt:i4>
      </vt:variant>
      <vt:variant>
        <vt:lpwstr>http://www.acm.org/about/class/1998/</vt:lpwstr>
      </vt:variant>
      <vt:variant>
        <vt:lpwstr/>
      </vt:variant>
      <vt:variant>
        <vt:i4>51</vt:i4>
      </vt:variant>
      <vt:variant>
        <vt:i4>-1</vt:i4>
      </vt:variant>
      <vt:variant>
        <vt:i4>1027</vt:i4>
      </vt:variant>
      <vt:variant>
        <vt:i4>1</vt:i4>
      </vt:variant>
      <vt:variant>
        <vt:lpwstr>3</vt:lpwstr>
      </vt:variant>
      <vt:variant>
        <vt:lpwstr/>
      </vt:variant>
      <vt:variant>
        <vt:i4>5373956</vt:i4>
      </vt:variant>
      <vt:variant>
        <vt:i4>-1</vt:i4>
      </vt:variant>
      <vt:variant>
        <vt:i4>1047</vt:i4>
      </vt:variant>
      <vt:variant>
        <vt:i4>1</vt:i4>
      </vt:variant>
      <vt:variant>
        <vt:lpwstr>unweighted-avg-time-alloc-v2</vt:lpwstr>
      </vt:variant>
      <vt:variant>
        <vt:lpwstr/>
      </vt:variant>
      <vt:variant>
        <vt:i4>6094924</vt:i4>
      </vt:variant>
      <vt:variant>
        <vt:i4>-1</vt:i4>
      </vt:variant>
      <vt:variant>
        <vt:i4>1048</vt:i4>
      </vt:variant>
      <vt:variant>
        <vt:i4>1</vt:i4>
      </vt:variant>
      <vt:variant>
        <vt:lpwstr>frac-on-track-v2</vt:lpwstr>
      </vt:variant>
      <vt:variant>
        <vt:lpwstr/>
      </vt:variant>
      <vt:variant>
        <vt:i4>5046381</vt:i4>
      </vt:variant>
      <vt:variant>
        <vt:i4>-1</vt:i4>
      </vt:variant>
      <vt:variant>
        <vt:i4>1050</vt:i4>
      </vt:variant>
      <vt:variant>
        <vt:i4>1</vt:i4>
      </vt:variant>
      <vt:variant>
        <vt:lpwstr>dots-cb22</vt:lpwstr>
      </vt:variant>
      <vt:variant>
        <vt:lpwstr/>
      </vt:variant>
      <vt:variant>
        <vt:i4>5046381</vt:i4>
      </vt:variant>
      <vt:variant>
        <vt:i4>-1</vt:i4>
      </vt:variant>
      <vt:variant>
        <vt:i4>1051</vt:i4>
      </vt:variant>
      <vt:variant>
        <vt:i4>1</vt:i4>
      </vt:variant>
      <vt:variant>
        <vt:lpwstr>dots-cb22</vt:lpwstr>
      </vt:variant>
      <vt:variant>
        <vt:lpwstr/>
      </vt:variant>
      <vt:variant>
        <vt:i4>131173</vt:i4>
      </vt:variant>
      <vt:variant>
        <vt:i4>-1</vt:i4>
      </vt:variant>
      <vt:variant>
        <vt:i4>1055</vt:i4>
      </vt:variant>
      <vt:variant>
        <vt:i4>1</vt:i4>
      </vt:variant>
      <vt:variant>
        <vt:lpwstr>dist-weeks-active-certs-lines</vt:lpwstr>
      </vt:variant>
      <vt:variant>
        <vt:lpwstr/>
      </vt:variant>
      <vt:variant>
        <vt:i4>4915234</vt:i4>
      </vt:variant>
      <vt:variant>
        <vt:i4>-1</vt:i4>
      </vt:variant>
      <vt:variant>
        <vt:i4>1056</vt:i4>
      </vt:variant>
      <vt:variant>
        <vt:i4>1</vt:i4>
      </vt:variant>
      <vt:variant>
        <vt:lpwstr>dots-cb22x-tracks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SIGCHI</dc:creator>
  <cp:keywords>Guides, instructions, Author's kit, Conference Publications</cp:keywords>
  <dc:description/>
  <cp:lastModifiedBy>Reich, Justin</cp:lastModifiedBy>
  <cp:revision>4</cp:revision>
  <cp:lastPrinted>2014-07-23T03:42:00Z</cp:lastPrinted>
  <dcterms:created xsi:type="dcterms:W3CDTF">2014-10-15T01:32:00Z</dcterms:created>
  <dcterms:modified xsi:type="dcterms:W3CDTF">2014-10-15T01:35:00Z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WnCUserId">
    <vt:lpwstr>1198</vt:lpwstr>
  </property>
  <property fmtid="{D5CDD505-2E9C-101B-9397-08002B2CF9AE}" pid="5" name="WnCSubscriberId">
    <vt:lpwstr>6128</vt:lpwstr>
  </property>
  <property fmtid="{D5CDD505-2E9C-101B-9397-08002B2CF9AE}" pid="6" name="WnCOutputStyleId">
    <vt:lpwstr>1562</vt:lpwstr>
  </property>
  <property fmtid="{D5CDD505-2E9C-101B-9397-08002B2CF9AE}" pid="7" name="RWProductId">
    <vt:lpwstr>WnC</vt:lpwstr>
  </property>
  <property fmtid="{D5CDD505-2E9C-101B-9397-08002B2CF9AE}" pid="8" name="WnCUser">
    <vt:lpwstr>bjfreich_6128</vt:lpwstr>
  </property>
  <property fmtid="{D5CDD505-2E9C-101B-9397-08002B2CF9AE}" pid="9" name="WnC4Folder">
    <vt:lpwstr>Documents///SES and MOOC Enrollment LAK 10_14_submitted(1)</vt:lpwstr>
  </property>
</Properties>
</file>